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9D8CA" w14:textId="77777777" w:rsidR="00B57888" w:rsidRDefault="00B57888" w:rsidP="00B57888">
      <w:pPr>
        <w:sectPr w:rsidR="00B57888" w:rsidSect="00F34D63">
          <w:headerReference w:type="default" r:id="rId8"/>
          <w:footerReference w:type="default" r:id="rId9"/>
          <w:footerReference w:type="first" r:id="rId10"/>
          <w:type w:val="continuous"/>
          <w:pgSz w:w="11906" w:h="16838"/>
          <w:pgMar w:top="1843" w:right="1134" w:bottom="1134" w:left="1134" w:header="851" w:footer="208" w:gutter="0"/>
          <w:cols w:space="708"/>
          <w:docGrid w:linePitch="360"/>
        </w:sectPr>
      </w:pPr>
      <w:r w:rsidRPr="00F66ABF">
        <w:rPr>
          <w:noProof/>
        </w:rPr>
        <mc:AlternateContent>
          <mc:Choice Requires="wps">
            <w:drawing>
              <wp:anchor distT="0" distB="0" distL="114300" distR="114300" simplePos="0" relativeHeight="251786752" behindDoc="0" locked="0" layoutInCell="1" allowOverlap="1" wp14:anchorId="7EDE74BF" wp14:editId="3731CE01">
                <wp:simplePos x="0" y="0"/>
                <wp:positionH relativeFrom="margin">
                  <wp:posOffset>3646121</wp:posOffset>
                </wp:positionH>
                <wp:positionV relativeFrom="paragraph">
                  <wp:posOffset>4012516</wp:posOffset>
                </wp:positionV>
                <wp:extent cx="2679700" cy="4206240"/>
                <wp:effectExtent l="0" t="0" r="0" b="3810"/>
                <wp:wrapNone/>
                <wp:docPr id="805882052" name="Casella di testo 2"/>
                <wp:cNvGraphicFramePr/>
                <a:graphic xmlns:a="http://schemas.openxmlformats.org/drawingml/2006/main">
                  <a:graphicData uri="http://schemas.microsoft.com/office/word/2010/wordprocessingShape">
                    <wps:wsp>
                      <wps:cNvSpPr txBox="1"/>
                      <wps:spPr>
                        <a:xfrm>
                          <a:off x="0" y="0"/>
                          <a:ext cx="2679700" cy="4206240"/>
                        </a:xfrm>
                        <a:prstGeom prst="rect">
                          <a:avLst/>
                        </a:prstGeom>
                        <a:noFill/>
                        <a:ln w="6350">
                          <a:noFill/>
                        </a:ln>
                      </wps:spPr>
                      <wps:txbx>
                        <w:txbxContent>
                          <w:p w14:paraId="51D1D745" w14:textId="77777777" w:rsidR="00B57888" w:rsidRPr="00B720BF" w:rsidRDefault="00B57888" w:rsidP="00B57888">
                            <w:pPr>
                              <w:tabs>
                                <w:tab w:val="left" w:pos="3522"/>
                              </w:tabs>
                              <w:spacing w:before="0" w:after="0" w:line="240" w:lineRule="auto"/>
                              <w:jc w:val="left"/>
                              <w:rPr>
                                <w:color w:val="AF8C62"/>
                                <w:sz w:val="26"/>
                                <w:szCs w:val="26"/>
                              </w:rPr>
                            </w:pPr>
                            <w:r w:rsidRPr="00B720BF">
                              <w:rPr>
                                <w:b/>
                                <w:bCs/>
                                <w:color w:val="AF8C62"/>
                                <w:sz w:val="26"/>
                                <w:szCs w:val="26"/>
                              </w:rPr>
                              <w:t>Highlights</w:t>
                            </w:r>
                          </w:p>
                          <w:p w14:paraId="7A3C4E73" w14:textId="77777777" w:rsidR="00B57888" w:rsidRPr="00B720BF" w:rsidRDefault="00B57888" w:rsidP="00B57888">
                            <w:pPr>
                              <w:tabs>
                                <w:tab w:val="left" w:pos="3522"/>
                              </w:tabs>
                              <w:spacing w:before="0" w:after="0" w:line="240" w:lineRule="auto"/>
                              <w:jc w:val="left"/>
                              <w:rPr>
                                <w:color w:val="FFFFFF" w:themeColor="background1"/>
                                <w:sz w:val="26"/>
                                <w:szCs w:val="26"/>
                              </w:rPr>
                            </w:pPr>
                          </w:p>
                          <w:p w14:paraId="769A908E" w14:textId="4D3B4E0E" w:rsidR="00B57888" w:rsidRPr="00B720BF" w:rsidRDefault="00AC0577" w:rsidP="00B57888">
                            <w:pPr>
                              <w:tabs>
                                <w:tab w:val="left" w:pos="3522"/>
                              </w:tabs>
                              <w:spacing w:before="0" w:after="0" w:line="240" w:lineRule="auto"/>
                              <w:jc w:val="left"/>
                              <w:rPr>
                                <w:color w:val="FFFFFF" w:themeColor="background1"/>
                                <w:sz w:val="26"/>
                                <w:szCs w:val="26"/>
                              </w:rPr>
                            </w:pPr>
                            <w:r w:rsidRPr="00AC0577">
                              <w:rPr>
                                <w:color w:val="FFFFFF" w:themeColor="background1"/>
                                <w:sz w:val="26"/>
                                <w:szCs w:val="26"/>
                              </w:rPr>
                              <w:t>Real Estate Funds: contributions of properties are subject to fixed registration tax regardless of the type of property</w:t>
                            </w:r>
                          </w:p>
                          <w:p w14:paraId="22A87E51" w14:textId="77777777" w:rsidR="00B57888" w:rsidRPr="00B720BF" w:rsidRDefault="00B57888" w:rsidP="00B57888">
                            <w:pPr>
                              <w:tabs>
                                <w:tab w:val="left" w:pos="3522"/>
                              </w:tabs>
                              <w:spacing w:before="0" w:after="0" w:line="240" w:lineRule="auto"/>
                              <w:jc w:val="left"/>
                              <w:rPr>
                                <w:color w:val="FFFFFF" w:themeColor="background1"/>
                                <w:sz w:val="26"/>
                                <w:szCs w:val="26"/>
                                <w:highlight w:val="yellow"/>
                              </w:rPr>
                            </w:pPr>
                          </w:p>
                          <w:p w14:paraId="35029E1A" w14:textId="244416E3" w:rsidR="00B57888" w:rsidRPr="00B720BF" w:rsidRDefault="00AC0577" w:rsidP="00B57888">
                            <w:pPr>
                              <w:tabs>
                                <w:tab w:val="left" w:pos="3522"/>
                              </w:tabs>
                              <w:spacing w:before="0" w:after="0" w:line="240" w:lineRule="auto"/>
                              <w:jc w:val="left"/>
                              <w:rPr>
                                <w:color w:val="FFFFFF" w:themeColor="background1"/>
                                <w:sz w:val="26"/>
                                <w:szCs w:val="26"/>
                                <w:highlight w:val="yellow"/>
                              </w:rPr>
                            </w:pPr>
                            <w:r w:rsidRPr="00AC0577">
                              <w:rPr>
                                <w:color w:val="FFFFFF" w:themeColor="background1"/>
                                <w:sz w:val="26"/>
                                <w:szCs w:val="26"/>
                              </w:rPr>
                              <w:t>Storage in Italy: regulatory challenges in a growing market</w:t>
                            </w:r>
                          </w:p>
                          <w:p w14:paraId="40781985" w14:textId="77777777" w:rsidR="00B57888" w:rsidRPr="00B720BF" w:rsidRDefault="00B57888" w:rsidP="00B57888">
                            <w:pPr>
                              <w:tabs>
                                <w:tab w:val="left" w:pos="3522"/>
                              </w:tabs>
                              <w:spacing w:before="0" w:after="0" w:line="240" w:lineRule="auto"/>
                              <w:jc w:val="left"/>
                              <w:rPr>
                                <w:color w:val="FFFFFF" w:themeColor="background1"/>
                                <w:sz w:val="26"/>
                                <w:szCs w:val="26"/>
                              </w:rPr>
                            </w:pPr>
                          </w:p>
                          <w:p w14:paraId="5A77E77F" w14:textId="4C533B05" w:rsidR="00B57888" w:rsidRPr="00B720BF" w:rsidRDefault="00AC0577" w:rsidP="00B57888">
                            <w:pPr>
                              <w:tabs>
                                <w:tab w:val="left" w:pos="3522"/>
                              </w:tabs>
                              <w:spacing w:before="0" w:after="0" w:line="240" w:lineRule="auto"/>
                              <w:jc w:val="left"/>
                              <w:rPr>
                                <w:color w:val="FFFFFF" w:themeColor="background1"/>
                                <w:sz w:val="26"/>
                                <w:szCs w:val="26"/>
                              </w:rPr>
                            </w:pPr>
                            <w:r w:rsidRPr="00AC0577">
                              <w:rPr>
                                <w:color w:val="FFFFFF" w:themeColor="background1"/>
                                <w:sz w:val="26"/>
                                <w:szCs w:val="26"/>
                              </w:rPr>
                              <w:t>Real Estate Transactions, planning restrictions and failure to disclose in the preliminary sale and purchase agreement: liability of the seller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DE74BF" id="_x0000_t202" coordsize="21600,21600" o:spt="202" path="m,l,21600r21600,l21600,xe">
                <v:stroke joinstyle="miter"/>
                <v:path gradientshapeok="t" o:connecttype="rect"/>
              </v:shapetype>
              <v:shape id="Casella di testo 2" o:spid="_x0000_s1026" type="#_x0000_t202" style="position:absolute;left:0;text-align:left;margin-left:287.1pt;margin-top:315.95pt;width:211pt;height:331.2pt;z-index:251786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" filled="f" stroked="f" strokeweight=".5pt">
                <v:textbox>
                  <w:txbxContent>
                    <w:p w14:paraId="51D1D745" w14:textId="77777777" w:rsidR="00B57888" w:rsidRPr="00B720BF" w:rsidRDefault="00B57888" w:rsidP="00B57888">
                      <w:pPr>
                        <w:tabs>
                          <w:tab w:val="left" w:pos="3522"/>
                        </w:tabs>
                        <w:spacing w:before="0" w:after="0" w:line="240" w:lineRule="auto"/>
                        <w:jc w:val="left"/>
                        <w:rPr>
                          <w:color w:val="AF8C62"/>
                          <w:sz w:val="26"/>
                          <w:szCs w:val="26"/>
                        </w:rPr>
                      </w:pPr>
                      <w:r w:rsidRPr="00B720BF">
                        <w:rPr>
                          <w:b/>
                          <w:bCs/>
                          <w:color w:val="AF8C62"/>
                          <w:sz w:val="26"/>
                          <w:szCs w:val="26"/>
                        </w:rPr>
                        <w:t>Highlights</w:t>
                      </w:r>
                    </w:p>
                    <w:p w14:paraId="7A3C4E73" w14:textId="77777777" w:rsidR="00B57888" w:rsidRPr="00B720BF" w:rsidRDefault="00B57888" w:rsidP="00B57888">
                      <w:pPr>
                        <w:tabs>
                          <w:tab w:val="left" w:pos="3522"/>
                        </w:tabs>
                        <w:spacing w:before="0" w:after="0" w:line="240" w:lineRule="auto"/>
                        <w:jc w:val="left"/>
                        <w:rPr>
                          <w:color w:val="FFFFFF" w:themeColor="background1"/>
                          <w:sz w:val="26"/>
                          <w:szCs w:val="26"/>
                        </w:rPr>
                      </w:pPr>
                    </w:p>
                    <w:p w14:paraId="769A908E" w14:textId="4D3B4E0E" w:rsidR="00B57888" w:rsidRPr="00B720BF" w:rsidRDefault="00AC0577" w:rsidP="00B57888">
                      <w:pPr>
                        <w:tabs>
                          <w:tab w:val="left" w:pos="3522"/>
                        </w:tabs>
                        <w:spacing w:before="0" w:after="0" w:line="240" w:lineRule="auto"/>
                        <w:jc w:val="left"/>
                        <w:rPr>
                          <w:color w:val="FFFFFF" w:themeColor="background1"/>
                          <w:sz w:val="26"/>
                          <w:szCs w:val="26"/>
                        </w:rPr>
                      </w:pPr>
                      <w:r w:rsidRPr="00AC0577">
                        <w:rPr>
                          <w:color w:val="FFFFFF" w:themeColor="background1"/>
                          <w:sz w:val="26"/>
                          <w:szCs w:val="26"/>
                        </w:rPr>
                        <w:t>Real Estate Funds: contributions of properties are subject to fixed registration tax regardless of the type of property</w:t>
                      </w:r>
                    </w:p>
                    <w:p w14:paraId="22A87E51" w14:textId="77777777" w:rsidR="00B57888" w:rsidRPr="00B720BF" w:rsidRDefault="00B57888" w:rsidP="00B57888">
                      <w:pPr>
                        <w:tabs>
                          <w:tab w:val="left" w:pos="3522"/>
                        </w:tabs>
                        <w:spacing w:before="0" w:after="0" w:line="240" w:lineRule="auto"/>
                        <w:jc w:val="left"/>
                        <w:rPr>
                          <w:color w:val="FFFFFF" w:themeColor="background1"/>
                          <w:sz w:val="26"/>
                          <w:szCs w:val="26"/>
                          <w:highlight w:val="yellow"/>
                        </w:rPr>
                      </w:pPr>
                    </w:p>
                    <w:p w14:paraId="35029E1A" w14:textId="244416E3" w:rsidR="00B57888" w:rsidRPr="00B720BF" w:rsidRDefault="00AC0577" w:rsidP="00B57888">
                      <w:pPr>
                        <w:tabs>
                          <w:tab w:val="left" w:pos="3522"/>
                        </w:tabs>
                        <w:spacing w:before="0" w:after="0" w:line="240" w:lineRule="auto"/>
                        <w:jc w:val="left"/>
                        <w:rPr>
                          <w:color w:val="FFFFFF" w:themeColor="background1"/>
                          <w:sz w:val="26"/>
                          <w:szCs w:val="26"/>
                          <w:highlight w:val="yellow"/>
                        </w:rPr>
                      </w:pPr>
                      <w:r w:rsidRPr="00AC0577">
                        <w:rPr>
                          <w:color w:val="FFFFFF" w:themeColor="background1"/>
                          <w:sz w:val="26"/>
                          <w:szCs w:val="26"/>
                        </w:rPr>
                        <w:t>Storage in Italy: regulatory challenges in a growing market</w:t>
                      </w:r>
                    </w:p>
                    <w:p w14:paraId="40781985" w14:textId="77777777" w:rsidR="00B57888" w:rsidRPr="00B720BF" w:rsidRDefault="00B57888" w:rsidP="00B57888">
                      <w:pPr>
                        <w:tabs>
                          <w:tab w:val="left" w:pos="3522"/>
                        </w:tabs>
                        <w:spacing w:before="0" w:after="0" w:line="240" w:lineRule="auto"/>
                        <w:jc w:val="left"/>
                        <w:rPr>
                          <w:color w:val="FFFFFF" w:themeColor="background1"/>
                          <w:sz w:val="26"/>
                          <w:szCs w:val="26"/>
                        </w:rPr>
                      </w:pPr>
                    </w:p>
                    <w:p w14:paraId="5A77E77F" w14:textId="4C533B05" w:rsidR="00B57888" w:rsidRPr="00B720BF" w:rsidRDefault="00AC0577" w:rsidP="00B57888">
                      <w:pPr>
                        <w:tabs>
                          <w:tab w:val="left" w:pos="3522"/>
                        </w:tabs>
                        <w:spacing w:before="0" w:after="0" w:line="240" w:lineRule="auto"/>
                        <w:jc w:val="left"/>
                        <w:rPr>
                          <w:color w:val="FFFFFF" w:themeColor="background1"/>
                          <w:sz w:val="26"/>
                          <w:szCs w:val="26"/>
                        </w:rPr>
                      </w:pPr>
                      <w:r w:rsidRPr="00AC0577">
                        <w:rPr>
                          <w:color w:val="FFFFFF" w:themeColor="background1"/>
                          <w:sz w:val="26"/>
                          <w:szCs w:val="26"/>
                        </w:rPr>
                        <w:t>Real Estate Transactions, planning restrictions and failure to disclose in the preliminary sale and purchase agreement: liability of the seller</w:t>
                      </w:r>
                    </w:p>
                  </w:txbxContent>
                </v:textbox>
                <w10:wrap anchorx="margin"/>
              </v:shape>
            </w:pict>
          </mc:Fallback>
        </mc:AlternateContent>
      </w:r>
      <w:r w:rsidRPr="00F66ABF">
        <w:rPr>
          <w:noProof/>
        </w:rPr>
        <mc:AlternateContent>
          <mc:Choice Requires="wps">
            <w:drawing>
              <wp:anchor distT="0" distB="0" distL="114300" distR="114300" simplePos="0" relativeHeight="251757056" behindDoc="0" locked="0" layoutInCell="1" allowOverlap="1" wp14:anchorId="0CB8D7B4" wp14:editId="2A37D7FA">
                <wp:simplePos x="0" y="0"/>
                <wp:positionH relativeFrom="page">
                  <wp:posOffset>4367139</wp:posOffset>
                </wp:positionH>
                <wp:positionV relativeFrom="paragraph">
                  <wp:posOffset>2445971</wp:posOffset>
                </wp:positionV>
                <wp:extent cx="2679700" cy="1327150"/>
                <wp:effectExtent l="0" t="0" r="0" b="6350"/>
                <wp:wrapNone/>
                <wp:docPr id="1109432715" name="Casella di testo 2"/>
                <wp:cNvGraphicFramePr/>
                <a:graphic xmlns:a="http://schemas.openxmlformats.org/drawingml/2006/main">
                  <a:graphicData uri="http://schemas.microsoft.com/office/word/2010/wordprocessingShape">
                    <wps:wsp>
                      <wps:cNvSpPr txBox="1"/>
                      <wps:spPr>
                        <a:xfrm>
                          <a:off x="0" y="0"/>
                          <a:ext cx="2679700" cy="1327150"/>
                        </a:xfrm>
                        <a:prstGeom prst="rect">
                          <a:avLst/>
                        </a:prstGeom>
                        <a:noFill/>
                        <a:ln w="6350">
                          <a:noFill/>
                        </a:ln>
                      </wps:spPr>
                      <wps:txbx>
                        <w:txbxContent>
                          <w:p w14:paraId="1704CE32" w14:textId="77777777" w:rsidR="00B57888" w:rsidRPr="00440679" w:rsidRDefault="00B57888" w:rsidP="00B57888">
                            <w:pPr>
                              <w:tabs>
                                <w:tab w:val="left" w:pos="3522"/>
                              </w:tabs>
                              <w:spacing w:before="0" w:after="0"/>
                              <w:rPr>
                                <w:color w:val="FFFFFF" w:themeColor="background1"/>
                                <w:sz w:val="28"/>
                                <w:szCs w:val="28"/>
                              </w:rPr>
                            </w:pPr>
                            <w:r w:rsidRPr="00440679">
                              <w:rPr>
                                <w:color w:val="FFFFFF" w:themeColor="background1"/>
                                <w:sz w:val="28"/>
                                <w:szCs w:val="28"/>
                              </w:rPr>
                              <w:t xml:space="preserve">Quarterly </w:t>
                            </w:r>
                          </w:p>
                          <w:p w14:paraId="2E67095D" w14:textId="77777777" w:rsidR="00B57888" w:rsidRPr="00F525C3" w:rsidRDefault="00B57888" w:rsidP="00B57888">
                            <w:pPr>
                              <w:tabs>
                                <w:tab w:val="left" w:pos="3522"/>
                              </w:tabs>
                              <w:spacing w:before="0" w:after="0"/>
                              <w:rPr>
                                <w:color w:val="FFFFFF" w:themeColor="background1"/>
                                <w:sz w:val="16"/>
                                <w:szCs w:val="16"/>
                              </w:rPr>
                            </w:pPr>
                            <w:r w:rsidRPr="00440679">
                              <w:rPr>
                                <w:color w:val="FFFFFF" w:themeColor="background1"/>
                                <w:sz w:val="28"/>
                                <w:szCs w:val="28"/>
                              </w:rPr>
                              <w:t>Insights</w:t>
                            </w:r>
                            <w:r w:rsidRPr="00440679">
                              <w:rPr>
                                <w:color w:val="FFFFFF" w:themeColor="background1"/>
                                <w:sz w:val="28"/>
                                <w:szCs w:val="28"/>
                              </w:rPr>
                              <w:br/>
                            </w:r>
                          </w:p>
                          <w:p w14:paraId="41DF0D47" w14:textId="26769036" w:rsidR="00B57888" w:rsidRPr="00440679" w:rsidRDefault="00B57888" w:rsidP="00B57888">
                            <w:pPr>
                              <w:tabs>
                                <w:tab w:val="left" w:pos="3522"/>
                              </w:tabs>
                              <w:spacing w:before="0" w:after="0"/>
                              <w:rPr>
                                <w:color w:val="FFFFFF" w:themeColor="background1"/>
                                <w:sz w:val="40"/>
                                <w:szCs w:val="40"/>
                              </w:rPr>
                            </w:pPr>
                            <w:r w:rsidRPr="00440679">
                              <w:rPr>
                                <w:b/>
                                <w:bCs/>
                                <w:color w:val="FFFFFF" w:themeColor="background1"/>
                                <w:sz w:val="40"/>
                                <w:szCs w:val="40"/>
                              </w:rPr>
                              <w:t>no.</w:t>
                            </w:r>
                            <w:r w:rsidR="00DF165F">
                              <w:rPr>
                                <w:b/>
                                <w:bCs/>
                                <w:color w:val="FFFFFF" w:themeColor="background1"/>
                                <w:sz w:val="40"/>
                                <w:szCs w:val="40"/>
                              </w:rPr>
                              <w:t>9</w:t>
                            </w:r>
                          </w:p>
                          <w:p w14:paraId="250D2420" w14:textId="05236C8E" w:rsidR="00B57888" w:rsidRPr="00440679" w:rsidRDefault="00DF165F" w:rsidP="00B57888">
                            <w:pPr>
                              <w:tabs>
                                <w:tab w:val="left" w:pos="3522"/>
                              </w:tabs>
                              <w:spacing w:before="0" w:after="0"/>
                              <w:rPr>
                                <w:color w:val="AF8C64"/>
                                <w:sz w:val="28"/>
                                <w:szCs w:val="28"/>
                              </w:rPr>
                            </w:pPr>
                            <w:r>
                              <w:rPr>
                                <w:color w:val="FFFFFF" w:themeColor="background1"/>
                                <w:sz w:val="28"/>
                                <w:szCs w:val="28"/>
                              </w:rPr>
                              <w:t>October</w:t>
                            </w:r>
                            <w:r w:rsidR="00B57888" w:rsidRPr="00440679">
                              <w:rPr>
                                <w:b/>
                                <w:bCs/>
                                <w:color w:val="FFFFFF" w:themeColor="background1"/>
                                <w:sz w:val="28"/>
                                <w:szCs w:val="28"/>
                              </w:rPr>
                              <w:t xml:space="preserve"> </w:t>
                            </w:r>
                            <w:r w:rsidR="00B57888" w:rsidRPr="00440679">
                              <w:rPr>
                                <w:color w:val="AF8C64"/>
                                <w:sz w:val="28"/>
                                <w:szCs w:val="28"/>
                              </w:rPr>
                              <w:t>2026</w:t>
                            </w:r>
                          </w:p>
                          <w:p w14:paraId="042FB679" w14:textId="77777777" w:rsidR="00B57888" w:rsidRPr="00440679" w:rsidRDefault="00B57888" w:rsidP="00B57888">
                            <w:pPr>
                              <w:tabs>
                                <w:tab w:val="left" w:pos="3522"/>
                              </w:tabs>
                              <w:rPr>
                                <w:color w:val="FFFFFF" w:themeColor="background1"/>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B8D7B4" id="_x0000_s1027" type="#_x0000_t202" style="position:absolute;left:0;text-align:left;margin-left:343.85pt;margin-top:192.6pt;width:211pt;height:104.5pt;z-index:251757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" filled="f" stroked="f" strokeweight=".5pt">
                <v:textbox>
                  <w:txbxContent>
                    <w:p w14:paraId="1704CE32" w14:textId="77777777" w:rsidR="00B57888" w:rsidRPr="00440679" w:rsidRDefault="00B57888" w:rsidP="00B57888">
                      <w:pPr>
                        <w:tabs>
                          <w:tab w:val="left" w:pos="3522"/>
                        </w:tabs>
                        <w:spacing w:before="0" w:after="0"/>
                        <w:rPr>
                          <w:color w:val="FFFFFF" w:themeColor="background1"/>
                          <w:sz w:val="28"/>
                          <w:szCs w:val="28"/>
                        </w:rPr>
                      </w:pPr>
                      <w:r w:rsidRPr="00440679">
                        <w:rPr>
                          <w:color w:val="FFFFFF" w:themeColor="background1"/>
                          <w:sz w:val="28"/>
                          <w:szCs w:val="28"/>
                        </w:rPr>
                        <w:t xml:space="preserve">Quarterly </w:t>
                      </w:r>
                    </w:p>
                    <w:p w14:paraId="2E67095D" w14:textId="77777777" w:rsidR="00B57888" w:rsidRPr="00F525C3" w:rsidRDefault="00B57888" w:rsidP="00B57888">
                      <w:pPr>
                        <w:tabs>
                          <w:tab w:val="left" w:pos="3522"/>
                        </w:tabs>
                        <w:spacing w:before="0" w:after="0"/>
                        <w:rPr>
                          <w:color w:val="FFFFFF" w:themeColor="background1"/>
                          <w:sz w:val="16"/>
                          <w:szCs w:val="16"/>
                        </w:rPr>
                      </w:pPr>
                      <w:r w:rsidRPr="00440679">
                        <w:rPr>
                          <w:color w:val="FFFFFF" w:themeColor="background1"/>
                          <w:sz w:val="28"/>
                          <w:szCs w:val="28"/>
                        </w:rPr>
                        <w:t>Insights</w:t>
                      </w:r>
                      <w:r w:rsidRPr="00440679">
                        <w:rPr>
                          <w:color w:val="FFFFFF" w:themeColor="background1"/>
                          <w:sz w:val="28"/>
                          <w:szCs w:val="28"/>
                        </w:rPr>
                        <w:br/>
                      </w:r>
                    </w:p>
                    <w:p w14:paraId="41DF0D47" w14:textId="26769036" w:rsidR="00B57888" w:rsidRPr="00440679" w:rsidRDefault="00B57888" w:rsidP="00B57888">
                      <w:pPr>
                        <w:tabs>
                          <w:tab w:val="left" w:pos="3522"/>
                        </w:tabs>
                        <w:spacing w:before="0" w:after="0"/>
                        <w:rPr>
                          <w:color w:val="FFFFFF" w:themeColor="background1"/>
                          <w:sz w:val="40"/>
                          <w:szCs w:val="40"/>
                        </w:rPr>
                      </w:pPr>
                      <w:r w:rsidRPr="00440679">
                        <w:rPr>
                          <w:b/>
                          <w:bCs/>
                          <w:color w:val="FFFFFF" w:themeColor="background1"/>
                          <w:sz w:val="40"/>
                          <w:szCs w:val="40"/>
                        </w:rPr>
                        <w:t>no.</w:t>
                      </w:r>
                      <w:r w:rsidR="00DF165F">
                        <w:rPr>
                          <w:b/>
                          <w:bCs/>
                          <w:color w:val="FFFFFF" w:themeColor="background1"/>
                          <w:sz w:val="40"/>
                          <w:szCs w:val="40"/>
                        </w:rPr>
                        <w:t>9</w:t>
                      </w:r>
                    </w:p>
                    <w:p w14:paraId="250D2420" w14:textId="05236C8E" w:rsidR="00B57888" w:rsidRPr="00440679" w:rsidRDefault="00DF165F" w:rsidP="00B57888">
                      <w:pPr>
                        <w:tabs>
                          <w:tab w:val="left" w:pos="3522"/>
                        </w:tabs>
                        <w:spacing w:before="0" w:after="0"/>
                        <w:rPr>
                          <w:color w:val="AF8C64"/>
                          <w:sz w:val="28"/>
                          <w:szCs w:val="28"/>
                        </w:rPr>
                      </w:pPr>
                      <w:r>
                        <w:rPr>
                          <w:color w:val="FFFFFF" w:themeColor="background1"/>
                          <w:sz w:val="28"/>
                          <w:szCs w:val="28"/>
                        </w:rPr>
                        <w:t>October</w:t>
                      </w:r>
                      <w:r w:rsidR="00B57888" w:rsidRPr="00440679">
                        <w:rPr>
                          <w:b/>
                          <w:bCs/>
                          <w:color w:val="FFFFFF" w:themeColor="background1"/>
                          <w:sz w:val="28"/>
                          <w:szCs w:val="28"/>
                        </w:rPr>
                        <w:t xml:space="preserve"> </w:t>
                      </w:r>
                      <w:r w:rsidR="00B57888" w:rsidRPr="00440679">
                        <w:rPr>
                          <w:color w:val="AF8C64"/>
                          <w:sz w:val="28"/>
                          <w:szCs w:val="28"/>
                        </w:rPr>
                        <w:t>2026</w:t>
                      </w:r>
                    </w:p>
                    <w:p w14:paraId="042FB679" w14:textId="77777777" w:rsidR="00B57888" w:rsidRPr="00440679" w:rsidRDefault="00B57888" w:rsidP="00B57888">
                      <w:pPr>
                        <w:tabs>
                          <w:tab w:val="left" w:pos="3522"/>
                        </w:tabs>
                        <w:rPr>
                          <w:color w:val="FFFFFF" w:themeColor="background1"/>
                          <w:sz w:val="28"/>
                          <w:szCs w:val="28"/>
                        </w:rPr>
                      </w:pPr>
                    </w:p>
                  </w:txbxContent>
                </v:textbox>
                <w10:wrap anchorx="page"/>
              </v:shape>
            </w:pict>
          </mc:Fallback>
        </mc:AlternateContent>
      </w:r>
      <w:r w:rsidRPr="00F66ABF">
        <w:rPr>
          <w:noProof/>
        </w:rPr>
        <mc:AlternateContent>
          <mc:Choice Requires="wps">
            <w:drawing>
              <wp:anchor distT="0" distB="0" distL="114300" distR="114300" simplePos="0" relativeHeight="251904512" behindDoc="0" locked="0" layoutInCell="1" allowOverlap="1" wp14:anchorId="3B656584" wp14:editId="3BF44EAC">
                <wp:simplePos x="0" y="0"/>
                <wp:positionH relativeFrom="page">
                  <wp:posOffset>4436745</wp:posOffset>
                </wp:positionH>
                <wp:positionV relativeFrom="paragraph">
                  <wp:posOffset>3858895</wp:posOffset>
                </wp:positionV>
                <wp:extent cx="3121660" cy="0"/>
                <wp:effectExtent l="0" t="0" r="0" b="0"/>
                <wp:wrapNone/>
                <wp:docPr id="512359509" name="Connettore 1 38"/>
                <wp:cNvGraphicFramePr/>
                <a:graphic xmlns:a="http://schemas.openxmlformats.org/drawingml/2006/main">
                  <a:graphicData uri="http://schemas.microsoft.com/office/word/2010/wordprocessingShape">
                    <wps:wsp>
                      <wps:cNvCnPr/>
                      <wps:spPr>
                        <a:xfrm>
                          <a:off x="0" y="0"/>
                          <a:ext cx="3121660" cy="0"/>
                        </a:xfrm>
                        <a:prstGeom prst="line">
                          <a:avLst/>
                        </a:prstGeom>
                        <a:ln w="12700">
                          <a:solidFill>
                            <a:srgbClr val="AF8C62"/>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498A152D" id="Connettore 1 38" o:spid="_x0000_s1026" style="position:absolute;z-index:25190451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349.35pt,303.85pt" to="595.15pt,30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" strokecolor="#af8c62" strokeweight="1pt">
                <v:stroke joinstyle="miter"/>
                <w10:wrap anchorx="page"/>
              </v:line>
            </w:pict>
          </mc:Fallback>
        </mc:AlternateContent>
      </w:r>
      <w:r w:rsidRPr="00F66ABF">
        <w:rPr>
          <w:noProof/>
        </w:rPr>
        <mc:AlternateContent>
          <mc:Choice Requires="wps">
            <w:drawing>
              <wp:anchor distT="0" distB="0" distL="114300" distR="114300" simplePos="0" relativeHeight="251846144" behindDoc="0" locked="0" layoutInCell="1" allowOverlap="1" wp14:anchorId="267AEE88" wp14:editId="551DAD46">
                <wp:simplePos x="0" y="0"/>
                <wp:positionH relativeFrom="page">
                  <wp:posOffset>4437233</wp:posOffset>
                </wp:positionH>
                <wp:positionV relativeFrom="paragraph">
                  <wp:posOffset>2355362</wp:posOffset>
                </wp:positionV>
                <wp:extent cx="3121660" cy="0"/>
                <wp:effectExtent l="0" t="0" r="0" b="0"/>
                <wp:wrapNone/>
                <wp:docPr id="1495710745" name="Connettore 1 38"/>
                <wp:cNvGraphicFramePr/>
                <a:graphic xmlns:a="http://schemas.openxmlformats.org/drawingml/2006/main">
                  <a:graphicData uri="http://schemas.microsoft.com/office/word/2010/wordprocessingShape">
                    <wps:wsp>
                      <wps:cNvCnPr/>
                      <wps:spPr>
                        <a:xfrm>
                          <a:off x="0" y="0"/>
                          <a:ext cx="3121660" cy="0"/>
                        </a:xfrm>
                        <a:prstGeom prst="line">
                          <a:avLst/>
                        </a:prstGeom>
                        <a:ln w="12700">
                          <a:solidFill>
                            <a:srgbClr val="AF8C62"/>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5215682A" id="Connettore 1 38" o:spid="_x0000_s1026" style="position:absolute;z-index:25184614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349.4pt,185.45pt" to="595.2pt,18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" strokecolor="#af8c62" strokeweight="1pt">
                <v:stroke joinstyle="miter"/>
                <w10:wrap anchorx="page"/>
              </v:line>
            </w:pict>
          </mc:Fallback>
        </mc:AlternateContent>
      </w:r>
    </w:p>
    <w:p w14:paraId="037EA7EF" w14:textId="77777777" w:rsidR="00B57888" w:rsidRDefault="00123A47" w:rsidP="00123A47">
      <w:pPr>
        <w:pStyle w:val="SI-Titolonoindice"/>
      </w:pPr>
      <w:r w:rsidRPr="00123A47">
        <w:lastRenderedPageBreak/>
        <w:t>On this edition</w:t>
      </w:r>
    </w:p>
    <w:p w14:paraId="48B848A6" w14:textId="3BA8E66C" w:rsidR="00C9541F" w:rsidRPr="00AC0577" w:rsidRDefault="00EF3A51">
      <w:pPr>
        <w:pStyle w:val="Sommario1"/>
        <w:tabs>
          <w:tab w:val="right" w:leader="dot" w:pos="9628"/>
        </w:tabs>
        <w:rPr>
          <w:rFonts w:asciiTheme="minorHAnsi" w:eastAsiaTheme="minorEastAsia" w:hAnsiTheme="minorHAnsi" w:cstheme="minorBidi"/>
          <w:b w:val="0"/>
          <w:bCs w:val="0"/>
          <w:noProof/>
          <w:sz w:val="24"/>
          <w:szCs w:val="24"/>
          <w:lang w:val="en-US" w:eastAsia="it-IT"/>
        </w:rPr>
      </w:pPr>
      <w:r>
        <w:rPr>
          <w:sz w:val="28"/>
        </w:rPr>
        <w:fldChar w:fldCharType="begin"/>
      </w:r>
      <w:r>
        <w:instrText xml:space="preserve"> TOC \o "1-2" \t "SI - Titolo - 1. Level 1;1;SI - Titolo - 1.1.   Level 2;2" </w:instrText>
      </w:r>
      <w:r>
        <w:rPr>
          <w:sz w:val="28"/>
        </w:rPr>
        <w:fldChar w:fldCharType="separate"/>
      </w:r>
      <w:r w:rsidR="00C9541F">
        <w:rPr>
          <w:noProof/>
        </w:rPr>
        <w:t>Real Estate</w:t>
      </w:r>
      <w:r w:rsidR="00C9541F">
        <w:rPr>
          <w:noProof/>
        </w:rPr>
        <w:tab/>
      </w:r>
      <w:r w:rsidR="00C9541F">
        <w:rPr>
          <w:noProof/>
        </w:rPr>
        <w:fldChar w:fldCharType="begin"/>
      </w:r>
      <w:r w:rsidR="00C9541F">
        <w:rPr>
          <w:noProof/>
        </w:rPr>
        <w:instrText xml:space="preserve"> PAGEREF _Toc244267096 \h </w:instrText>
      </w:r>
      <w:r w:rsidR="00C9541F">
        <w:rPr>
          <w:noProof/>
        </w:rPr>
      </w:r>
      <w:r w:rsidR="00C9541F">
        <w:rPr>
          <w:noProof/>
        </w:rPr>
        <w:fldChar w:fldCharType="separate"/>
      </w:r>
      <w:r w:rsidR="00C9541F">
        <w:rPr>
          <w:noProof/>
        </w:rPr>
        <w:t>4</w:t>
      </w:r>
      <w:r w:rsidR="00C9541F">
        <w:rPr>
          <w:noProof/>
        </w:rPr>
        <w:fldChar w:fldCharType="end"/>
      </w:r>
    </w:p>
    <w:p w14:paraId="60C7D1A8" w14:textId="668D8EE2" w:rsidR="00C9541F" w:rsidRPr="00C9541F" w:rsidRDefault="00C9541F">
      <w:pPr>
        <w:pStyle w:val="Sommario2"/>
        <w:rPr>
          <w:rFonts w:asciiTheme="minorHAnsi" w:eastAsiaTheme="minorEastAsia" w:hAnsiTheme="minorHAnsi" w:cstheme="minorBidi"/>
          <w:iCs w:val="0"/>
          <w:sz w:val="24"/>
          <w:szCs w:val="24"/>
          <w:lang w:eastAsia="it-IT"/>
        </w:rPr>
      </w:pPr>
      <w:r>
        <w:t xml:space="preserve">Storage in Italy: regulatory challenges in a growing market | </w:t>
      </w:r>
      <w:r w:rsidRPr="00472CA6">
        <w:rPr>
          <w:i/>
        </w:rPr>
        <w:t>28 July 2026</w:t>
      </w:r>
      <w:r>
        <w:tab/>
      </w:r>
      <w:r>
        <w:fldChar w:fldCharType="begin"/>
      </w:r>
      <w:r>
        <w:instrText xml:space="preserve"> PAGEREF _Toc244267097 \h </w:instrText>
      </w:r>
      <w:r>
        <w:fldChar w:fldCharType="separate"/>
      </w:r>
      <w:r>
        <w:t>4</w:t>
      </w:r>
      <w:r>
        <w:fldChar w:fldCharType="end"/>
      </w:r>
    </w:p>
    <w:p w14:paraId="6CC31390" w14:textId="6775785F" w:rsidR="00C9541F" w:rsidRDefault="00C9541F">
      <w:pPr>
        <w:pStyle w:val="Sommario1"/>
        <w:tabs>
          <w:tab w:val="right" w:leader="dot" w:pos="9628"/>
        </w:tabs>
        <w:rPr>
          <w:rFonts w:asciiTheme="minorHAnsi" w:eastAsiaTheme="minorEastAsia" w:hAnsiTheme="minorHAnsi" w:cstheme="minorBidi"/>
          <w:b w:val="0"/>
          <w:bCs w:val="0"/>
          <w:noProof/>
          <w:sz w:val="24"/>
          <w:szCs w:val="24"/>
          <w:lang w:val="it-IT" w:eastAsia="it-IT"/>
        </w:rPr>
      </w:pPr>
      <w:r>
        <w:rPr>
          <w:noProof/>
        </w:rPr>
        <w:t>Tax</w:t>
      </w:r>
      <w:r>
        <w:rPr>
          <w:noProof/>
        </w:rPr>
        <w:tab/>
      </w:r>
      <w:r>
        <w:rPr>
          <w:noProof/>
        </w:rPr>
        <w:fldChar w:fldCharType="begin"/>
      </w:r>
      <w:r>
        <w:rPr>
          <w:noProof/>
        </w:rPr>
        <w:instrText xml:space="preserve"> PAGEREF _Toc244267098 \h </w:instrText>
      </w:r>
      <w:r>
        <w:rPr>
          <w:noProof/>
        </w:rPr>
      </w:r>
      <w:r>
        <w:rPr>
          <w:noProof/>
        </w:rPr>
        <w:fldChar w:fldCharType="separate"/>
      </w:r>
      <w:r>
        <w:rPr>
          <w:noProof/>
        </w:rPr>
        <w:t>4</w:t>
      </w:r>
      <w:r>
        <w:rPr>
          <w:noProof/>
        </w:rPr>
        <w:fldChar w:fldCharType="end"/>
      </w:r>
    </w:p>
    <w:p w14:paraId="12D26CFB" w14:textId="776CF454" w:rsidR="00C9541F" w:rsidRPr="00C9541F" w:rsidRDefault="00C9541F">
      <w:pPr>
        <w:pStyle w:val="Sommario2"/>
        <w:rPr>
          <w:rFonts w:asciiTheme="minorHAnsi" w:eastAsiaTheme="minorEastAsia" w:hAnsiTheme="minorHAnsi" w:cstheme="minorBidi"/>
          <w:iCs w:val="0"/>
          <w:sz w:val="24"/>
          <w:szCs w:val="24"/>
          <w:lang w:eastAsia="it-IT"/>
        </w:rPr>
      </w:pPr>
      <w:r>
        <w:t>Transfers</w:t>
      </w:r>
      <w:r w:rsidRPr="00472CA6">
        <w:rPr>
          <w:lang w:val="en-US"/>
        </w:rPr>
        <w:t xml:space="preserve"> of buildings and public residential housing programmes (ERP) | </w:t>
      </w:r>
      <w:r w:rsidRPr="00472CA6">
        <w:rPr>
          <w:i/>
          <w:lang w:val="en-US"/>
        </w:rPr>
        <w:t>23 July 2026</w:t>
      </w:r>
      <w:r>
        <w:tab/>
      </w:r>
      <w:r>
        <w:fldChar w:fldCharType="begin"/>
      </w:r>
      <w:r>
        <w:instrText xml:space="preserve"> PAGEREF _Toc244267099 \h </w:instrText>
      </w:r>
      <w:r>
        <w:fldChar w:fldCharType="separate"/>
      </w:r>
      <w:r>
        <w:t>4</w:t>
      </w:r>
      <w:r>
        <w:fldChar w:fldCharType="end"/>
      </w:r>
    </w:p>
    <w:p w14:paraId="2DABA1CA" w14:textId="7E7ECC93" w:rsidR="00C9541F" w:rsidRPr="00C9541F" w:rsidRDefault="00C9541F">
      <w:pPr>
        <w:pStyle w:val="Sommario2"/>
        <w:rPr>
          <w:rFonts w:asciiTheme="minorHAnsi" w:eastAsiaTheme="minorEastAsia" w:hAnsiTheme="minorHAnsi" w:cstheme="minorBidi"/>
          <w:iCs w:val="0"/>
          <w:sz w:val="24"/>
          <w:szCs w:val="24"/>
          <w:lang w:eastAsia="it-IT"/>
        </w:rPr>
      </w:pPr>
      <w:r>
        <w:t>Real</w:t>
      </w:r>
      <w:r w:rsidRPr="00472CA6">
        <w:rPr>
          <w:lang w:val="en-US"/>
        </w:rPr>
        <w:t xml:space="preserve"> Estate Funds: contributions of properties are subject to fixed registration tax regardless of the type of property | </w:t>
      </w:r>
      <w:r w:rsidRPr="00472CA6">
        <w:rPr>
          <w:i/>
          <w:lang w:val="en-US"/>
        </w:rPr>
        <w:t>9 July 2026</w:t>
      </w:r>
      <w:r>
        <w:tab/>
      </w:r>
      <w:r>
        <w:fldChar w:fldCharType="begin"/>
      </w:r>
      <w:r>
        <w:instrText xml:space="preserve"> PAGEREF _Toc244267100 \h </w:instrText>
      </w:r>
      <w:r>
        <w:fldChar w:fldCharType="separate"/>
      </w:r>
      <w:r>
        <w:t>6</w:t>
      </w:r>
      <w:r>
        <w:fldChar w:fldCharType="end"/>
      </w:r>
    </w:p>
    <w:p w14:paraId="2C6A9C99" w14:textId="48CD489D" w:rsidR="00C9541F" w:rsidRPr="00C9541F" w:rsidRDefault="00C9541F">
      <w:pPr>
        <w:pStyle w:val="Sommario2"/>
        <w:rPr>
          <w:rFonts w:asciiTheme="minorHAnsi" w:eastAsiaTheme="minorEastAsia" w:hAnsiTheme="minorHAnsi" w:cstheme="minorBidi"/>
          <w:iCs w:val="0"/>
          <w:sz w:val="24"/>
          <w:szCs w:val="24"/>
          <w:lang w:eastAsia="it-IT"/>
        </w:rPr>
      </w:pPr>
      <w:r>
        <w:t xml:space="preserve">Trusts and Real Estate: new rules on mortgage and cadastral taxes | </w:t>
      </w:r>
      <w:r w:rsidRPr="00472CA6">
        <w:rPr>
          <w:i/>
        </w:rPr>
        <w:t>7 July 2026</w:t>
      </w:r>
      <w:r>
        <w:tab/>
      </w:r>
      <w:r>
        <w:fldChar w:fldCharType="begin"/>
      </w:r>
      <w:r>
        <w:instrText xml:space="preserve"> PAGEREF _Toc244267101 \h </w:instrText>
      </w:r>
      <w:r>
        <w:fldChar w:fldCharType="separate"/>
      </w:r>
      <w:r>
        <w:t>8</w:t>
      </w:r>
      <w:r>
        <w:fldChar w:fldCharType="end"/>
      </w:r>
    </w:p>
    <w:p w14:paraId="110667BC" w14:textId="4E67DA9F" w:rsidR="00C9541F" w:rsidRDefault="00C9541F">
      <w:pPr>
        <w:pStyle w:val="Sommario1"/>
        <w:tabs>
          <w:tab w:val="right" w:leader="dot" w:pos="9628"/>
        </w:tabs>
        <w:rPr>
          <w:rFonts w:asciiTheme="minorHAnsi" w:eastAsiaTheme="minorEastAsia" w:hAnsiTheme="minorHAnsi" w:cstheme="minorBidi"/>
          <w:b w:val="0"/>
          <w:bCs w:val="0"/>
          <w:noProof/>
          <w:sz w:val="24"/>
          <w:szCs w:val="24"/>
          <w:lang w:val="it-IT" w:eastAsia="it-IT"/>
        </w:rPr>
      </w:pPr>
      <w:r>
        <w:rPr>
          <w:noProof/>
        </w:rPr>
        <w:t>Town planning</w:t>
      </w:r>
      <w:r>
        <w:rPr>
          <w:noProof/>
        </w:rPr>
        <w:tab/>
      </w:r>
      <w:r>
        <w:rPr>
          <w:noProof/>
        </w:rPr>
        <w:fldChar w:fldCharType="begin"/>
      </w:r>
      <w:r>
        <w:rPr>
          <w:noProof/>
        </w:rPr>
        <w:instrText xml:space="preserve"> PAGEREF _Toc244267102 \h </w:instrText>
      </w:r>
      <w:r>
        <w:rPr>
          <w:noProof/>
        </w:rPr>
      </w:r>
      <w:r>
        <w:rPr>
          <w:noProof/>
        </w:rPr>
        <w:fldChar w:fldCharType="separate"/>
      </w:r>
      <w:r>
        <w:rPr>
          <w:noProof/>
        </w:rPr>
        <w:t>9</w:t>
      </w:r>
      <w:r>
        <w:rPr>
          <w:noProof/>
        </w:rPr>
        <w:fldChar w:fldCharType="end"/>
      </w:r>
    </w:p>
    <w:p w14:paraId="3DC65C15" w14:textId="4C9DB1BA" w:rsidR="00C9541F" w:rsidRPr="00C9541F" w:rsidRDefault="00C9541F">
      <w:pPr>
        <w:pStyle w:val="Sommario2"/>
        <w:rPr>
          <w:rFonts w:asciiTheme="minorHAnsi" w:eastAsiaTheme="minorEastAsia" w:hAnsiTheme="minorHAnsi" w:cstheme="minorBidi"/>
          <w:iCs w:val="0"/>
          <w:sz w:val="24"/>
          <w:szCs w:val="24"/>
          <w:lang w:eastAsia="it-IT"/>
        </w:rPr>
      </w:pPr>
      <w:r>
        <w:t xml:space="preserve">Guido Alberto Inzaghi comments on the new Piano Casa in the Green Street News | </w:t>
      </w:r>
      <w:r w:rsidRPr="00472CA6">
        <w:rPr>
          <w:i/>
        </w:rPr>
        <w:t>11 September 2026</w:t>
      </w:r>
      <w:r>
        <w:tab/>
      </w:r>
      <w:r>
        <w:fldChar w:fldCharType="begin"/>
      </w:r>
      <w:r>
        <w:instrText xml:space="preserve"> PAGEREF _Toc244267103 \h </w:instrText>
      </w:r>
      <w:r>
        <w:fldChar w:fldCharType="separate"/>
      </w:r>
      <w:r>
        <w:t>9</w:t>
      </w:r>
      <w:r>
        <w:fldChar w:fldCharType="end"/>
      </w:r>
    </w:p>
    <w:p w14:paraId="7DC761B9" w14:textId="26B568F7" w:rsidR="00C9541F" w:rsidRPr="00C9541F" w:rsidRDefault="00C9541F">
      <w:pPr>
        <w:pStyle w:val="Sommario2"/>
        <w:rPr>
          <w:rFonts w:asciiTheme="minorHAnsi" w:eastAsiaTheme="minorEastAsia" w:hAnsiTheme="minorHAnsi" w:cstheme="minorBidi"/>
          <w:iCs w:val="0"/>
          <w:sz w:val="24"/>
          <w:szCs w:val="24"/>
          <w:lang w:eastAsia="it-IT"/>
        </w:rPr>
      </w:pPr>
      <w:r>
        <w:t xml:space="preserve">Municipality of Milan: new guidelines for the implementation of urbanisation works approved | </w:t>
      </w:r>
      <w:r w:rsidRPr="00472CA6">
        <w:rPr>
          <w:i/>
        </w:rPr>
        <w:t>7 September 2026</w:t>
      </w:r>
      <w:r>
        <w:tab/>
      </w:r>
      <w:r>
        <w:fldChar w:fldCharType="begin"/>
      </w:r>
      <w:r>
        <w:instrText xml:space="preserve"> PAGEREF _Toc244267104 \h </w:instrText>
      </w:r>
      <w:r>
        <w:fldChar w:fldCharType="separate"/>
      </w:r>
      <w:r>
        <w:t>10</w:t>
      </w:r>
      <w:r>
        <w:fldChar w:fldCharType="end"/>
      </w:r>
    </w:p>
    <w:p w14:paraId="64FCFD13" w14:textId="48879A49" w:rsidR="00C9541F" w:rsidRPr="00C9541F" w:rsidRDefault="00C9541F">
      <w:pPr>
        <w:pStyle w:val="Sommario2"/>
        <w:rPr>
          <w:rFonts w:asciiTheme="minorHAnsi" w:eastAsiaTheme="minorEastAsia" w:hAnsiTheme="minorHAnsi" w:cstheme="minorBidi"/>
          <w:iCs w:val="0"/>
          <w:sz w:val="24"/>
          <w:szCs w:val="24"/>
          <w:lang w:eastAsia="it-IT"/>
        </w:rPr>
      </w:pPr>
      <w:r>
        <w:t xml:space="preserve">Rome Capital approves the amendment to the technical implementation rules of the General Regulatory Plan (PRG) | </w:t>
      </w:r>
      <w:r w:rsidRPr="00472CA6">
        <w:rPr>
          <w:i/>
        </w:rPr>
        <w:t>10 August 2026</w:t>
      </w:r>
      <w:r>
        <w:tab/>
      </w:r>
      <w:r>
        <w:fldChar w:fldCharType="begin"/>
      </w:r>
      <w:r>
        <w:instrText xml:space="preserve"> PAGEREF _Toc244267105 \h </w:instrText>
      </w:r>
      <w:r>
        <w:fldChar w:fldCharType="separate"/>
      </w:r>
      <w:r>
        <w:t>10</w:t>
      </w:r>
      <w:r>
        <w:fldChar w:fldCharType="end"/>
      </w:r>
    </w:p>
    <w:p w14:paraId="5885C04E" w14:textId="71BC51E2" w:rsidR="00C9541F" w:rsidRPr="00C9541F" w:rsidRDefault="00C9541F">
      <w:pPr>
        <w:pStyle w:val="Sommario2"/>
        <w:rPr>
          <w:rFonts w:asciiTheme="minorHAnsi" w:eastAsiaTheme="minorEastAsia" w:hAnsiTheme="minorHAnsi" w:cstheme="minorBidi"/>
          <w:iCs w:val="0"/>
          <w:sz w:val="24"/>
          <w:szCs w:val="24"/>
          <w:lang w:eastAsia="it-IT"/>
        </w:rPr>
      </w:pPr>
      <w:r>
        <w:t xml:space="preserve">Partial amendment to the Milan PGT – Preliminary report for the SEA screening procedure published | </w:t>
      </w:r>
      <w:r w:rsidRPr="00472CA6">
        <w:rPr>
          <w:i/>
        </w:rPr>
        <w:t>30 July 2026</w:t>
      </w:r>
      <w:r>
        <w:tab/>
      </w:r>
      <w:r>
        <w:fldChar w:fldCharType="begin"/>
      </w:r>
      <w:r>
        <w:instrText xml:space="preserve"> PAGEREF _Toc244267106 \h </w:instrText>
      </w:r>
      <w:r>
        <w:fldChar w:fldCharType="separate"/>
      </w:r>
      <w:r>
        <w:t>11</w:t>
      </w:r>
      <w:r>
        <w:fldChar w:fldCharType="end"/>
      </w:r>
    </w:p>
    <w:p w14:paraId="1E2F5A96" w14:textId="301E2ABA" w:rsidR="00C9541F" w:rsidRPr="00C9541F" w:rsidRDefault="00C9541F">
      <w:pPr>
        <w:pStyle w:val="Sommario2"/>
        <w:rPr>
          <w:rFonts w:asciiTheme="minorHAnsi" w:eastAsiaTheme="minorEastAsia" w:hAnsiTheme="minorHAnsi" w:cstheme="minorBidi"/>
          <w:iCs w:val="0"/>
          <w:sz w:val="24"/>
          <w:szCs w:val="24"/>
          <w:lang w:eastAsia="it-IT"/>
        </w:rPr>
      </w:pPr>
      <w:r w:rsidRPr="00C9541F">
        <w:t xml:space="preserve">Rome: technical implementation rules of the General Regulatory Plan (PRG) approved | </w:t>
      </w:r>
      <w:r w:rsidRPr="00C9541F">
        <w:rPr>
          <w:i/>
        </w:rPr>
        <w:t>28 July 2026</w:t>
      </w:r>
      <w:r>
        <w:tab/>
      </w:r>
      <w:r>
        <w:fldChar w:fldCharType="begin"/>
      </w:r>
      <w:r>
        <w:instrText xml:space="preserve"> PAGEREF _Toc244267107 \h </w:instrText>
      </w:r>
      <w:r>
        <w:fldChar w:fldCharType="separate"/>
      </w:r>
      <w:r>
        <w:t>11</w:t>
      </w:r>
      <w:r>
        <w:fldChar w:fldCharType="end"/>
      </w:r>
    </w:p>
    <w:p w14:paraId="19B2F5B3" w14:textId="65AD2CB9" w:rsidR="00C9541F" w:rsidRPr="00C9541F" w:rsidRDefault="00C9541F">
      <w:pPr>
        <w:pStyle w:val="Sommario2"/>
        <w:rPr>
          <w:rFonts w:asciiTheme="minorHAnsi" w:eastAsiaTheme="minorEastAsia" w:hAnsiTheme="minorHAnsi" w:cstheme="minorBidi"/>
          <w:iCs w:val="0"/>
          <w:sz w:val="24"/>
          <w:szCs w:val="24"/>
          <w:lang w:eastAsia="it-IT"/>
        </w:rPr>
      </w:pPr>
      <w:r>
        <w:t xml:space="preserve">Municipality of Milan updates the guidelines for the assessment of proposals for new privately-owned services of public or general interest (SPIG) | </w:t>
      </w:r>
      <w:r w:rsidRPr="00472CA6">
        <w:rPr>
          <w:i/>
        </w:rPr>
        <w:t>20 July 2026</w:t>
      </w:r>
      <w:r>
        <w:tab/>
      </w:r>
      <w:r>
        <w:fldChar w:fldCharType="begin"/>
      </w:r>
      <w:r>
        <w:instrText xml:space="preserve"> PAGEREF _Toc244267108 \h </w:instrText>
      </w:r>
      <w:r>
        <w:fldChar w:fldCharType="separate"/>
      </w:r>
      <w:r>
        <w:t>12</w:t>
      </w:r>
      <w:r>
        <w:fldChar w:fldCharType="end"/>
      </w:r>
    </w:p>
    <w:p w14:paraId="01889944" w14:textId="0239A3B7" w:rsidR="00C9541F" w:rsidRPr="00C9541F" w:rsidRDefault="00C9541F">
      <w:pPr>
        <w:pStyle w:val="Sommario2"/>
        <w:rPr>
          <w:rFonts w:asciiTheme="minorHAnsi" w:eastAsiaTheme="minorEastAsia" w:hAnsiTheme="minorHAnsi" w:cstheme="minorBidi"/>
          <w:iCs w:val="0"/>
          <w:sz w:val="24"/>
          <w:szCs w:val="24"/>
          <w:lang w:eastAsia="it-IT"/>
        </w:rPr>
      </w:pPr>
      <w:r>
        <w:t xml:space="preserve">Rome PRG: Lazio Region suspends the approval procedure | </w:t>
      </w:r>
      <w:r w:rsidRPr="00472CA6">
        <w:rPr>
          <w:i/>
        </w:rPr>
        <w:t>16 July 2026</w:t>
      </w:r>
      <w:r>
        <w:tab/>
      </w:r>
      <w:r>
        <w:fldChar w:fldCharType="begin"/>
      </w:r>
      <w:r>
        <w:instrText xml:space="preserve"> PAGEREF _Toc244267109 \h </w:instrText>
      </w:r>
      <w:r>
        <w:fldChar w:fldCharType="separate"/>
      </w:r>
      <w:r>
        <w:t>14</w:t>
      </w:r>
      <w:r>
        <w:fldChar w:fldCharType="end"/>
      </w:r>
    </w:p>
    <w:p w14:paraId="706C72E2" w14:textId="5686ABB9" w:rsidR="00C9541F" w:rsidRPr="00C9541F" w:rsidRDefault="00C9541F">
      <w:pPr>
        <w:pStyle w:val="Sommario2"/>
        <w:rPr>
          <w:rFonts w:asciiTheme="minorHAnsi" w:eastAsiaTheme="minorEastAsia" w:hAnsiTheme="minorHAnsi" w:cstheme="minorBidi"/>
          <w:iCs w:val="0"/>
          <w:sz w:val="24"/>
          <w:szCs w:val="24"/>
          <w:lang w:eastAsia="it-IT"/>
        </w:rPr>
      </w:pPr>
      <w:r w:rsidRPr="00472CA6">
        <w:rPr>
          <w:lang w:val="en-US"/>
        </w:rPr>
        <w:t xml:space="preserve">The “Torre Milano” Case: Guido Alberto Inzaghi comments on the Criminal Court Judgment in InGENIO | </w:t>
      </w:r>
      <w:r w:rsidRPr="00472CA6">
        <w:rPr>
          <w:i/>
          <w:lang w:val="en-US"/>
        </w:rPr>
        <w:t>16 July 2026</w:t>
      </w:r>
      <w:r>
        <w:tab/>
      </w:r>
      <w:r>
        <w:fldChar w:fldCharType="begin"/>
      </w:r>
      <w:r>
        <w:instrText xml:space="preserve"> PAGEREF _Toc244267110 \h </w:instrText>
      </w:r>
      <w:r>
        <w:fldChar w:fldCharType="separate"/>
      </w:r>
      <w:r>
        <w:t>14</w:t>
      </w:r>
      <w:r>
        <w:fldChar w:fldCharType="end"/>
      </w:r>
    </w:p>
    <w:p w14:paraId="0B803640" w14:textId="6E5196C6" w:rsidR="00C9541F" w:rsidRPr="00C9541F" w:rsidRDefault="00C9541F">
      <w:pPr>
        <w:pStyle w:val="Sommario2"/>
        <w:rPr>
          <w:rFonts w:asciiTheme="minorHAnsi" w:eastAsiaTheme="minorEastAsia" w:hAnsiTheme="minorHAnsi" w:cstheme="minorBidi"/>
          <w:iCs w:val="0"/>
          <w:sz w:val="24"/>
          <w:szCs w:val="24"/>
          <w:lang w:eastAsia="it-IT"/>
        </w:rPr>
      </w:pPr>
      <w:r w:rsidRPr="00472CA6">
        <w:rPr>
          <w:lang w:val="en-US"/>
        </w:rPr>
        <w:t xml:space="preserve">Regional Administrative Court of Lombardy – Milan, Judgment no. 3495 of 1 July 2026 | </w:t>
      </w:r>
      <w:r w:rsidRPr="00472CA6">
        <w:rPr>
          <w:i/>
          <w:lang w:val="en-US"/>
        </w:rPr>
        <w:t>8 July 2026</w:t>
      </w:r>
      <w:r>
        <w:tab/>
      </w:r>
      <w:r>
        <w:fldChar w:fldCharType="begin"/>
      </w:r>
      <w:r>
        <w:instrText xml:space="preserve"> PAGEREF _Toc244267111 \h </w:instrText>
      </w:r>
      <w:r>
        <w:fldChar w:fldCharType="separate"/>
      </w:r>
      <w:r>
        <w:t>15</w:t>
      </w:r>
      <w:r>
        <w:fldChar w:fldCharType="end"/>
      </w:r>
    </w:p>
    <w:p w14:paraId="50ADF4B7" w14:textId="0E805ECC" w:rsidR="00C9541F" w:rsidRPr="00C9541F" w:rsidRDefault="00C9541F">
      <w:pPr>
        <w:pStyle w:val="Sommario2"/>
        <w:rPr>
          <w:rFonts w:asciiTheme="minorHAnsi" w:eastAsiaTheme="minorEastAsia" w:hAnsiTheme="minorHAnsi" w:cstheme="minorBidi"/>
          <w:iCs w:val="0"/>
          <w:sz w:val="24"/>
          <w:szCs w:val="24"/>
          <w:lang w:eastAsia="it-IT"/>
        </w:rPr>
      </w:pPr>
      <w:r>
        <w:t xml:space="preserve">Lombardy Region approves new environmental impact assessment (EIA) framework | </w:t>
      </w:r>
      <w:r w:rsidRPr="00472CA6">
        <w:rPr>
          <w:i/>
        </w:rPr>
        <w:t>3 July 2026</w:t>
      </w:r>
      <w:r>
        <w:tab/>
      </w:r>
      <w:r>
        <w:fldChar w:fldCharType="begin"/>
      </w:r>
      <w:r>
        <w:instrText xml:space="preserve"> PAGEREF _Toc244267112 \h </w:instrText>
      </w:r>
      <w:r>
        <w:fldChar w:fldCharType="separate"/>
      </w:r>
      <w:r>
        <w:t>17</w:t>
      </w:r>
      <w:r>
        <w:fldChar w:fldCharType="end"/>
      </w:r>
    </w:p>
    <w:p w14:paraId="3C91E48D" w14:textId="31E438AC" w:rsidR="00C9541F" w:rsidRPr="00C9541F" w:rsidRDefault="00C9541F">
      <w:pPr>
        <w:pStyle w:val="Sommario2"/>
        <w:rPr>
          <w:rFonts w:asciiTheme="minorHAnsi" w:eastAsiaTheme="minorEastAsia" w:hAnsiTheme="minorHAnsi" w:cstheme="minorBidi"/>
          <w:iCs w:val="0"/>
          <w:sz w:val="24"/>
          <w:szCs w:val="24"/>
          <w:lang w:eastAsia="it-IT"/>
        </w:rPr>
      </w:pPr>
      <w:r>
        <w:lastRenderedPageBreak/>
        <w:t xml:space="preserve">“Park Towers” Case: Court of Auditors excludes liability of officials of the Municipality of Milan | </w:t>
      </w:r>
      <w:r w:rsidRPr="00472CA6">
        <w:rPr>
          <w:i/>
        </w:rPr>
        <w:t>3 July 2026</w:t>
      </w:r>
      <w:r>
        <w:tab/>
      </w:r>
      <w:r>
        <w:fldChar w:fldCharType="begin"/>
      </w:r>
      <w:r>
        <w:instrText xml:space="preserve"> PAGEREF _Toc244267113 \h </w:instrText>
      </w:r>
      <w:r>
        <w:fldChar w:fldCharType="separate"/>
      </w:r>
      <w:r>
        <w:t>18</w:t>
      </w:r>
      <w:r>
        <w:fldChar w:fldCharType="end"/>
      </w:r>
    </w:p>
    <w:p w14:paraId="43F9C76B" w14:textId="23473266" w:rsidR="00C9541F" w:rsidRDefault="00C9541F">
      <w:pPr>
        <w:pStyle w:val="Sommario1"/>
        <w:tabs>
          <w:tab w:val="right" w:leader="dot" w:pos="9628"/>
        </w:tabs>
        <w:rPr>
          <w:rFonts w:asciiTheme="minorHAnsi" w:eastAsiaTheme="minorEastAsia" w:hAnsiTheme="minorHAnsi" w:cstheme="minorBidi"/>
          <w:b w:val="0"/>
          <w:bCs w:val="0"/>
          <w:noProof/>
          <w:sz w:val="24"/>
          <w:szCs w:val="24"/>
          <w:lang w:val="it-IT" w:eastAsia="it-IT"/>
        </w:rPr>
      </w:pPr>
      <w:r>
        <w:rPr>
          <w:noProof/>
        </w:rPr>
        <w:t>Litigation</w:t>
      </w:r>
      <w:r>
        <w:rPr>
          <w:noProof/>
        </w:rPr>
        <w:tab/>
      </w:r>
      <w:r>
        <w:rPr>
          <w:noProof/>
        </w:rPr>
        <w:fldChar w:fldCharType="begin"/>
      </w:r>
      <w:r>
        <w:rPr>
          <w:noProof/>
        </w:rPr>
        <w:instrText xml:space="preserve"> PAGEREF _Toc244267114 \h </w:instrText>
      </w:r>
      <w:r>
        <w:rPr>
          <w:noProof/>
        </w:rPr>
      </w:r>
      <w:r>
        <w:rPr>
          <w:noProof/>
        </w:rPr>
        <w:fldChar w:fldCharType="separate"/>
      </w:r>
      <w:r>
        <w:rPr>
          <w:noProof/>
        </w:rPr>
        <w:t>19</w:t>
      </w:r>
      <w:r>
        <w:rPr>
          <w:noProof/>
        </w:rPr>
        <w:fldChar w:fldCharType="end"/>
      </w:r>
    </w:p>
    <w:p w14:paraId="606437AD" w14:textId="2ECE66B2" w:rsidR="00C9541F" w:rsidRPr="00C9541F" w:rsidRDefault="00C9541F">
      <w:pPr>
        <w:pStyle w:val="Sommario2"/>
        <w:rPr>
          <w:rFonts w:asciiTheme="minorHAnsi" w:eastAsiaTheme="minorEastAsia" w:hAnsiTheme="minorHAnsi" w:cstheme="minorBidi"/>
          <w:iCs w:val="0"/>
          <w:sz w:val="24"/>
          <w:szCs w:val="24"/>
          <w:lang w:eastAsia="it-IT"/>
        </w:rPr>
      </w:pPr>
      <w:r>
        <w:t xml:space="preserve">Real Estate Transactions, planning restrictions and failure to disclose in the preliminary sale and purchase agreement: liability of the seller | </w:t>
      </w:r>
      <w:r w:rsidRPr="00472CA6">
        <w:rPr>
          <w:i/>
        </w:rPr>
        <w:t>September 2026</w:t>
      </w:r>
      <w:r>
        <w:tab/>
      </w:r>
      <w:r>
        <w:fldChar w:fldCharType="begin"/>
      </w:r>
      <w:r>
        <w:instrText xml:space="preserve"> PAGEREF _Toc244267115 \h </w:instrText>
      </w:r>
      <w:r>
        <w:fldChar w:fldCharType="separate"/>
      </w:r>
      <w:r>
        <w:t>19</w:t>
      </w:r>
      <w:r>
        <w:fldChar w:fldCharType="end"/>
      </w:r>
    </w:p>
    <w:p w14:paraId="5A7D3CC4" w14:textId="7FB8BF96" w:rsidR="00123A47" w:rsidRDefault="00EF3A51" w:rsidP="00123A47">
      <w:r>
        <w:fldChar w:fldCharType="end"/>
      </w:r>
    </w:p>
    <w:p w14:paraId="11910DF6" w14:textId="77777777" w:rsidR="00123A47" w:rsidRDefault="00123A47" w:rsidP="00123A47">
      <w:pPr>
        <w:sectPr w:rsidR="00123A47" w:rsidSect="00833DE4">
          <w:headerReference w:type="default" r:id="rId11"/>
          <w:headerReference w:type="first" r:id="rId12"/>
          <w:pgSz w:w="11906" w:h="16838"/>
          <w:pgMar w:top="1843" w:right="1134" w:bottom="1134" w:left="1134" w:header="851" w:footer="208" w:gutter="0"/>
          <w:cols w:space="708"/>
          <w:docGrid w:linePitch="360"/>
        </w:sectPr>
      </w:pPr>
    </w:p>
    <w:p w14:paraId="04D15948" w14:textId="77777777" w:rsidR="00123A47" w:rsidRDefault="00123A47" w:rsidP="00123A47">
      <w:pPr>
        <w:pStyle w:val="SI-Titolo-1Level1"/>
      </w:pPr>
      <w:bookmarkStart w:id="0" w:name="_Toc244267096"/>
      <w:r w:rsidRPr="00123A47">
        <w:lastRenderedPageBreak/>
        <w:t>Real Estate</w:t>
      </w:r>
      <w:bookmarkEnd w:id="0"/>
    </w:p>
    <w:p w14:paraId="6E5ADA7F" w14:textId="127DAC28" w:rsidR="00123A47" w:rsidRPr="00123A47" w:rsidRDefault="003341F9" w:rsidP="00123A47">
      <w:pPr>
        <w:pStyle w:val="SI-Titolo-11Level2"/>
      </w:pPr>
      <w:bookmarkStart w:id="1" w:name="_Toc244267097"/>
      <w:r>
        <w:t xml:space="preserve">Storage in Italy: </w:t>
      </w:r>
      <w:r w:rsidR="00B64B3E">
        <w:t>r</w:t>
      </w:r>
      <w:r w:rsidR="00B64B3E" w:rsidRPr="00B64B3E">
        <w:t xml:space="preserve">egulatory </w:t>
      </w:r>
      <w:r w:rsidR="00B64B3E">
        <w:t>c</w:t>
      </w:r>
      <w:r w:rsidR="00B64B3E" w:rsidRPr="00B64B3E">
        <w:t xml:space="preserve">hallenges in a </w:t>
      </w:r>
      <w:r w:rsidR="00B64B3E">
        <w:t>g</w:t>
      </w:r>
      <w:r w:rsidR="00B64B3E" w:rsidRPr="00B64B3E">
        <w:t xml:space="preserve">rowing </w:t>
      </w:r>
      <w:r w:rsidR="00B64B3E">
        <w:t>m</w:t>
      </w:r>
      <w:r w:rsidR="00B64B3E" w:rsidRPr="00B64B3E">
        <w:t xml:space="preserve">arket </w:t>
      </w:r>
      <w:r w:rsidR="00B42101">
        <w:t>|</w:t>
      </w:r>
      <w:r w:rsidR="00B64B3E" w:rsidRPr="00B64B3E">
        <w:t xml:space="preserve"> </w:t>
      </w:r>
      <w:r w:rsidR="00B64B3E" w:rsidRPr="00B64B3E">
        <w:rPr>
          <w:i/>
          <w:iCs/>
        </w:rPr>
        <w:t>28 July 2026</w:t>
      </w:r>
      <w:bookmarkEnd w:id="1"/>
    </w:p>
    <w:p w14:paraId="62451964" w14:textId="5167A079" w:rsidR="00CD6426" w:rsidRPr="0049517B" w:rsidRDefault="00CD6426" w:rsidP="00CD6426">
      <w:pPr>
        <w:rPr>
          <w:lang w:val="en-US"/>
        </w:rPr>
      </w:pPr>
      <w:r w:rsidRPr="0049517B">
        <w:rPr>
          <w:lang w:val="en-US"/>
        </w:rPr>
        <w:t>With approximately 190,000 square metres of self-storage facilities in Italy, compared with over 6 million in the United Kingdom, the sector remains a relatively young real estate segment in the Italian market, yet one offering promising growth prospects.</w:t>
      </w:r>
    </w:p>
    <w:p w14:paraId="0FEBFFA0" w14:textId="77777777" w:rsidR="00CD6426" w:rsidRPr="0049517B" w:rsidRDefault="00CD6426" w:rsidP="00CD6426">
      <w:pPr>
        <w:rPr>
          <w:lang w:val="en-US"/>
        </w:rPr>
      </w:pPr>
      <w:r w:rsidRPr="0049517B">
        <w:rPr>
          <w:lang w:val="en-US"/>
        </w:rPr>
        <w:t>Already well-established in several European markets, self-storage is attracting increasing investor interest in Italy, where shrinking residential spaces, evolving housing needs and growing demand for flexible storage solutions are contributing to the sector's expansion.</w:t>
      </w:r>
    </w:p>
    <w:p w14:paraId="6BBA5EFC" w14:textId="77777777" w:rsidR="00CD6426" w:rsidRPr="0049517B" w:rsidRDefault="00CD6426" w:rsidP="00CD6426">
      <w:pPr>
        <w:rPr>
          <w:lang w:val="en-US"/>
        </w:rPr>
      </w:pPr>
      <w:r w:rsidRPr="0049517B">
        <w:rPr>
          <w:lang w:val="en-US"/>
        </w:rPr>
        <w:t>However, these investment opportunities come with significant legal and urban planning challenges. Lease or deposit agreement? Who is responsible for stored goods? Which urban planning requirements must be considered when repurposing a property for self-storage use?</w:t>
      </w:r>
    </w:p>
    <w:p w14:paraId="67DADCC9" w14:textId="77777777" w:rsidR="00CD6426" w:rsidRPr="0049517B" w:rsidRDefault="00CD6426" w:rsidP="00CD6426">
      <w:pPr>
        <w:rPr>
          <w:lang w:val="en-US"/>
        </w:rPr>
      </w:pPr>
      <w:r w:rsidRPr="0049517B">
        <w:rPr>
          <w:lang w:val="en-US"/>
        </w:rPr>
        <w:t xml:space="preserve">These are among the issues addressed by our Founding </w:t>
      </w:r>
      <w:r w:rsidRPr="00CD6426">
        <w:rPr>
          <w:lang w:val="en-US"/>
        </w:rPr>
        <w:t>Partner Ivana Magistrelli in</w:t>
      </w:r>
      <w:r w:rsidRPr="0049517B">
        <w:rPr>
          <w:lang w:val="en-US"/>
        </w:rPr>
        <w:t xml:space="preserve"> the article “</w:t>
      </w:r>
      <w:r w:rsidRPr="00CD6426">
        <w:rPr>
          <w:i/>
          <w:iCs/>
          <w:lang w:val="en-US"/>
        </w:rPr>
        <w:t>Magazzini personali</w:t>
      </w:r>
      <w:r w:rsidRPr="0049517B">
        <w:rPr>
          <w:lang w:val="en-US"/>
        </w:rPr>
        <w:t>”, published in Milano Finanza, which explores the evolution of the Italian self-storage market and its growth prospects.</w:t>
      </w:r>
    </w:p>
    <w:p w14:paraId="5254F2F2" w14:textId="77777777" w:rsidR="00CD6426" w:rsidRPr="0049517B" w:rsidRDefault="00CD6426" w:rsidP="00CD6426">
      <w:pPr>
        <w:rPr>
          <w:lang w:val="en-US"/>
        </w:rPr>
      </w:pPr>
      <w:r w:rsidRPr="0049517B">
        <w:rPr>
          <w:lang w:val="en-US"/>
        </w:rPr>
        <w:t>In her contribution, Ivana Magistrelli highlights how the absence of a specific regulatory framework for self-storage in Italy represents one of the key challenges facing operators. The legal classification of contractual arrangements, including the allocation of liability and responsibility for stored goods, as well as the urban planning classification of self-storage facilities and the rules governing changes of use, require careful assessment, particularly in light of differing regional and municipal regulations.</w:t>
      </w:r>
    </w:p>
    <w:p w14:paraId="1FF90548" w14:textId="77777777" w:rsidR="00CD6426" w:rsidRPr="005D6276" w:rsidRDefault="00CD6426" w:rsidP="00CD6426">
      <w:pPr>
        <w:rPr>
          <w:lang w:val="en-US"/>
        </w:rPr>
      </w:pPr>
      <w:r w:rsidRPr="0049517B">
        <w:rPr>
          <w:lang w:val="en-US"/>
        </w:rPr>
        <w:t>A market with significant growth potential, where a sound legal and urban planning assessment plays a key role in shaping investment decisions.</w:t>
      </w:r>
    </w:p>
    <w:p w14:paraId="2E7D34F2" w14:textId="5975B346" w:rsidR="00123A47" w:rsidRDefault="00CD6426" w:rsidP="00CD6426">
      <w:r w:rsidRPr="005D6276">
        <w:rPr>
          <w:lang w:val="en-US"/>
        </w:rPr>
        <w:t xml:space="preserve">To read the full article, click </w:t>
      </w:r>
      <w:hyperlink r:id="rId13" w:history="1">
        <w:r w:rsidR="00271D8D" w:rsidRPr="00271D8D">
          <w:rPr>
            <w:rStyle w:val="Collegamentoipertestuale"/>
            <w:lang w:val="en-US"/>
          </w:rPr>
          <w:t>here</w:t>
        </w:r>
      </w:hyperlink>
      <w:r w:rsidR="00271D8D" w:rsidRPr="00271D8D">
        <w:rPr>
          <w:lang w:val="en-US"/>
        </w:rPr>
        <w:t>.</w:t>
      </w:r>
    </w:p>
    <w:p w14:paraId="0F700F8E" w14:textId="77777777" w:rsidR="000B57ED" w:rsidRDefault="000B57ED" w:rsidP="000B57ED">
      <w:pPr>
        <w:pStyle w:val="SI-Titolo-1Level1"/>
      </w:pPr>
      <w:bookmarkStart w:id="2" w:name="_Toc244267098"/>
      <w:r>
        <w:t>Tax</w:t>
      </w:r>
      <w:bookmarkEnd w:id="2"/>
    </w:p>
    <w:p w14:paraId="49537F63" w14:textId="033321EE" w:rsidR="00CB7EF4" w:rsidRPr="00953247" w:rsidRDefault="00CB7EF4" w:rsidP="009B1797">
      <w:pPr>
        <w:pStyle w:val="SI-Titolo-11Level2"/>
        <w:rPr>
          <w:b w:val="0"/>
          <w:bCs w:val="0"/>
          <w:lang w:val="en-US"/>
        </w:rPr>
      </w:pPr>
      <w:bookmarkStart w:id="3" w:name="_Toc244267099"/>
      <w:r w:rsidRPr="009B1797">
        <w:t>Transfers</w:t>
      </w:r>
      <w:r w:rsidRPr="00953247">
        <w:rPr>
          <w:lang w:val="en-US"/>
        </w:rPr>
        <w:t xml:space="preserve"> of </w:t>
      </w:r>
      <w:r w:rsidR="00E91188">
        <w:rPr>
          <w:lang w:val="en-US"/>
        </w:rPr>
        <w:t>b</w:t>
      </w:r>
      <w:r w:rsidRPr="00953247">
        <w:rPr>
          <w:lang w:val="en-US"/>
        </w:rPr>
        <w:t xml:space="preserve">uildings and </w:t>
      </w:r>
      <w:r w:rsidR="00E91188">
        <w:rPr>
          <w:lang w:val="en-US"/>
        </w:rPr>
        <w:t>p</w:t>
      </w:r>
      <w:r w:rsidRPr="00953247">
        <w:rPr>
          <w:lang w:val="en-US"/>
        </w:rPr>
        <w:t xml:space="preserve">ublic </w:t>
      </w:r>
      <w:r w:rsidR="00E91188">
        <w:rPr>
          <w:lang w:val="en-US"/>
        </w:rPr>
        <w:t>r</w:t>
      </w:r>
      <w:r w:rsidRPr="00953247">
        <w:rPr>
          <w:lang w:val="en-US"/>
        </w:rPr>
        <w:t xml:space="preserve">esidential </w:t>
      </w:r>
      <w:r w:rsidR="00E91188">
        <w:rPr>
          <w:lang w:val="en-US"/>
        </w:rPr>
        <w:t>h</w:t>
      </w:r>
      <w:r w:rsidRPr="00953247">
        <w:rPr>
          <w:lang w:val="en-US"/>
        </w:rPr>
        <w:t xml:space="preserve">ousing </w:t>
      </w:r>
      <w:r w:rsidR="00E91188">
        <w:rPr>
          <w:lang w:val="en-US"/>
        </w:rPr>
        <w:t>p</w:t>
      </w:r>
      <w:r w:rsidRPr="00953247">
        <w:rPr>
          <w:lang w:val="en-US"/>
        </w:rPr>
        <w:t>rogrammes (ERP)</w:t>
      </w:r>
      <w:r w:rsidR="009B1797">
        <w:rPr>
          <w:lang w:val="en-US"/>
        </w:rPr>
        <w:t xml:space="preserve"> | </w:t>
      </w:r>
      <w:r w:rsidR="00115640" w:rsidRPr="00115640">
        <w:rPr>
          <w:i/>
          <w:iCs/>
          <w:lang w:val="en-US"/>
        </w:rPr>
        <w:t>23 July 2026</w:t>
      </w:r>
      <w:bookmarkEnd w:id="3"/>
    </w:p>
    <w:p w14:paraId="234AD91A" w14:textId="77777777" w:rsidR="00CB7EF4" w:rsidRPr="00953247" w:rsidRDefault="00CB7EF4" w:rsidP="00CB7EF4">
      <w:pPr>
        <w:rPr>
          <w:lang w:val="en-US"/>
        </w:rPr>
      </w:pPr>
      <w:r w:rsidRPr="00953247">
        <w:rPr>
          <w:lang w:val="en-US"/>
        </w:rPr>
        <w:t>On the scope of the exemption under Article 32(2) of Presidential Decree No. 601/1973 with respect to mortgage and cadastral taxes</w:t>
      </w:r>
      <w:r>
        <w:rPr>
          <w:lang w:val="en-US"/>
        </w:rPr>
        <w:t>.</w:t>
      </w:r>
    </w:p>
    <w:p w14:paraId="09776FA6" w14:textId="77777777" w:rsidR="00CB7EF4" w:rsidRPr="00115640" w:rsidRDefault="00CB7EF4" w:rsidP="00CB7EF4">
      <w:pPr>
        <w:rPr>
          <w:i/>
          <w:iCs/>
          <w:lang w:val="en-US"/>
        </w:rPr>
      </w:pPr>
      <w:r w:rsidRPr="00115640">
        <w:rPr>
          <w:i/>
          <w:iCs/>
          <w:lang w:val="en-US"/>
        </w:rPr>
        <w:t>Italian Supreme Court (Court of Cassation), Civil Division V, Order No. 21000 of 20 June 2026</w:t>
      </w:r>
    </w:p>
    <w:p w14:paraId="78289AA7" w14:textId="77777777" w:rsidR="00CB7EF4" w:rsidRPr="00115640" w:rsidRDefault="00CB7EF4" w:rsidP="00CB7EF4">
      <w:pPr>
        <w:rPr>
          <w:u w:val="single"/>
          <w:lang w:val="en-US"/>
        </w:rPr>
      </w:pPr>
      <w:r w:rsidRPr="00115640">
        <w:rPr>
          <w:u w:val="single"/>
          <w:lang w:val="en-US"/>
        </w:rPr>
        <w:t>The tax relief for registration, mortgage and cadastral taxes</w:t>
      </w:r>
    </w:p>
    <w:p w14:paraId="48C1F5DF" w14:textId="77777777" w:rsidR="00CB7EF4" w:rsidRPr="001C01B5" w:rsidRDefault="00CB7EF4" w:rsidP="00CB7EF4">
      <w:pPr>
        <w:pStyle w:val="Paragrafoelenco"/>
        <w:numPr>
          <w:ilvl w:val="0"/>
          <w:numId w:val="26"/>
        </w:numPr>
        <w:spacing w:before="120" w:after="120" w:line="276" w:lineRule="auto"/>
        <w:rPr>
          <w:lang w:val="en-US"/>
        </w:rPr>
      </w:pPr>
      <w:r w:rsidRPr="00FE7E36">
        <w:rPr>
          <w:lang w:val="en-US"/>
        </w:rPr>
        <w:lastRenderedPageBreak/>
        <w:t>Article 32 of Presidential</w:t>
      </w:r>
      <w:r w:rsidRPr="001C01B5">
        <w:rPr>
          <w:lang w:val="en-US"/>
        </w:rPr>
        <w:t xml:space="preserve"> Decree No. 601/1973 provides for a favourable tax regime for deeds relating to the implementation of public residential housing programmes (</w:t>
      </w:r>
      <w:r w:rsidRPr="003C49CD">
        <w:rPr>
          <w:i/>
          <w:iCs/>
          <w:lang w:val="en-US"/>
        </w:rPr>
        <w:t>edilizia residenziale pubblica</w:t>
      </w:r>
      <w:r w:rsidRPr="001C01B5">
        <w:rPr>
          <w:lang w:val="en-US"/>
        </w:rPr>
        <w:t xml:space="preserve"> – ERP).</w:t>
      </w:r>
    </w:p>
    <w:p w14:paraId="540259EE" w14:textId="77777777" w:rsidR="00CB7EF4" w:rsidRPr="001C01B5" w:rsidRDefault="00CB7EF4" w:rsidP="00CB7EF4">
      <w:pPr>
        <w:pStyle w:val="Paragrafoelenco"/>
        <w:numPr>
          <w:ilvl w:val="0"/>
          <w:numId w:val="26"/>
        </w:numPr>
        <w:spacing w:before="120" w:after="120" w:line="276" w:lineRule="auto"/>
        <w:rPr>
          <w:lang w:val="en-US"/>
        </w:rPr>
      </w:pPr>
      <w:r w:rsidRPr="001C01B5">
        <w:rPr>
          <w:lang w:val="en-US"/>
        </w:rPr>
        <w:t>In particular, Article 32(2) provides for the application of registration tax at the fixed amount of EUR 200 and an exemption from mortgage and cadastral taxes in respect of: (i) deeds transferring land free of charge to municipalities or municipal consortia; and (ii) all other deeds and agreements relating to the implementation of public residential housing programmes.</w:t>
      </w:r>
    </w:p>
    <w:p w14:paraId="7940EB34" w14:textId="77777777" w:rsidR="00CB7EF4" w:rsidRPr="001C01B5" w:rsidRDefault="00CB7EF4" w:rsidP="00CB7EF4">
      <w:pPr>
        <w:pStyle w:val="Paragrafoelenco"/>
        <w:numPr>
          <w:ilvl w:val="0"/>
          <w:numId w:val="26"/>
        </w:numPr>
        <w:spacing w:before="120" w:after="120" w:line="276" w:lineRule="auto"/>
        <w:rPr>
          <w:lang w:val="en-US"/>
        </w:rPr>
      </w:pPr>
      <w:r w:rsidRPr="001C01B5">
        <w:rPr>
          <w:lang w:val="en-US"/>
        </w:rPr>
        <w:t>For guidance on the concept of deeds relating to the implementation of public residential housing programmes, reference may be made, among others, to Reply to Ruling No. 6/2022 issued by the Italian Revenue Agency.</w:t>
      </w:r>
    </w:p>
    <w:p w14:paraId="4A8C31BC" w14:textId="2E3414D1" w:rsidR="00CB7EF4" w:rsidRPr="00115640" w:rsidRDefault="00CB7EF4" w:rsidP="00CB7EF4">
      <w:pPr>
        <w:rPr>
          <w:u w:val="single"/>
          <w:lang w:val="en-US"/>
        </w:rPr>
      </w:pPr>
      <w:r w:rsidRPr="00115640">
        <w:rPr>
          <w:u w:val="single"/>
          <w:lang w:val="en-US"/>
        </w:rPr>
        <w:t xml:space="preserve">Supreme Court Order </w:t>
      </w:r>
      <w:r w:rsidR="00421A8F">
        <w:rPr>
          <w:u w:val="single"/>
          <w:lang w:val="en-US"/>
        </w:rPr>
        <w:t>n</w:t>
      </w:r>
      <w:r w:rsidRPr="00115640">
        <w:rPr>
          <w:u w:val="single"/>
          <w:lang w:val="en-US"/>
        </w:rPr>
        <w:t>o. 21000/2026</w:t>
      </w:r>
    </w:p>
    <w:p w14:paraId="7F5CDF45" w14:textId="77777777" w:rsidR="00CB7EF4" w:rsidRPr="001C01B5" w:rsidRDefault="00CB7EF4" w:rsidP="00CB7EF4">
      <w:pPr>
        <w:pStyle w:val="Paragrafoelenco"/>
        <w:numPr>
          <w:ilvl w:val="0"/>
          <w:numId w:val="27"/>
        </w:numPr>
        <w:spacing w:before="120" w:after="120" w:line="276" w:lineRule="auto"/>
        <w:rPr>
          <w:lang w:val="en-US"/>
        </w:rPr>
      </w:pPr>
      <w:r w:rsidRPr="001C01B5">
        <w:rPr>
          <w:lang w:val="en-US"/>
        </w:rPr>
        <w:t>In the Order under review, the Supreme Court confirmed that the relief introduced in 1973 remains fully effective and that its scope also extends to contracts for the sale of buildings developed under public residential housing programmes.</w:t>
      </w:r>
    </w:p>
    <w:p w14:paraId="28EE6270" w14:textId="77777777" w:rsidR="00CB7EF4" w:rsidRPr="001C01B5" w:rsidRDefault="00CB7EF4" w:rsidP="00CB7EF4">
      <w:pPr>
        <w:pStyle w:val="Paragrafoelenco"/>
        <w:numPr>
          <w:ilvl w:val="0"/>
          <w:numId w:val="27"/>
        </w:numPr>
        <w:spacing w:before="120" w:after="120" w:line="276" w:lineRule="auto"/>
        <w:rPr>
          <w:lang w:val="en-US"/>
        </w:rPr>
      </w:pPr>
      <w:r w:rsidRPr="001C01B5">
        <w:rPr>
          <w:lang w:val="en-US"/>
        </w:rPr>
        <w:t>However, the Court limited the application of the relief to cases where, absent the relief, the deed would have been subject to proportional registration tax rather than to registration tax at the fixed amount of EUR 200.</w:t>
      </w:r>
    </w:p>
    <w:p w14:paraId="5C432CA4" w14:textId="77777777" w:rsidR="00CB7EF4" w:rsidRPr="001C01B5" w:rsidRDefault="00CB7EF4" w:rsidP="00CB7EF4">
      <w:pPr>
        <w:pStyle w:val="Paragrafoelenco"/>
        <w:numPr>
          <w:ilvl w:val="0"/>
          <w:numId w:val="27"/>
        </w:numPr>
        <w:spacing w:before="120" w:after="120" w:line="276" w:lineRule="auto"/>
        <w:rPr>
          <w:lang w:val="en-US"/>
        </w:rPr>
      </w:pPr>
      <w:r w:rsidRPr="001C01B5">
        <w:rPr>
          <w:lang w:val="en-US"/>
        </w:rPr>
        <w:t>Accordingly, the Supreme Court excluded from the scope of the relief transfers subject to VAT and to registration tax at the fixed amount of EUR 200 pursuant to the principle of alternativity between VAT and registration tax (under which, in certain circumstances, transactions subject to VAT attract registration tax at the fixed amount of EUR 200).</w:t>
      </w:r>
    </w:p>
    <w:p w14:paraId="18147422" w14:textId="77777777" w:rsidR="00CB7EF4" w:rsidRPr="001C01B5" w:rsidRDefault="00CB7EF4" w:rsidP="00CB7EF4">
      <w:pPr>
        <w:pStyle w:val="Paragrafoelenco"/>
        <w:numPr>
          <w:ilvl w:val="0"/>
          <w:numId w:val="27"/>
        </w:numPr>
        <w:spacing w:before="120" w:after="120" w:line="276" w:lineRule="auto"/>
        <w:rPr>
          <w:lang w:val="en-US"/>
        </w:rPr>
      </w:pPr>
      <w:r w:rsidRPr="001C01B5">
        <w:rPr>
          <w:lang w:val="en-US"/>
        </w:rPr>
        <w:t>According to the Court, where a deed is already subject to registration tax at the fixed amount of EUR 200 irrespective of Article 32, the exemption from mortgage and cadastral taxes cannot apply.</w:t>
      </w:r>
    </w:p>
    <w:p w14:paraId="63B80D0C" w14:textId="77777777" w:rsidR="00CB7EF4" w:rsidRPr="00143EC3" w:rsidRDefault="00CB7EF4" w:rsidP="00CB7EF4">
      <w:pPr>
        <w:rPr>
          <w:u w:val="single"/>
          <w:lang w:val="en-US"/>
        </w:rPr>
      </w:pPr>
      <w:r w:rsidRPr="00143EC3">
        <w:rPr>
          <w:u w:val="single"/>
          <w:lang w:val="en-US"/>
        </w:rPr>
        <w:t>The case</w:t>
      </w:r>
    </w:p>
    <w:p w14:paraId="26D97741" w14:textId="77777777" w:rsidR="00CB7EF4" w:rsidRPr="001C01B5" w:rsidRDefault="00CB7EF4" w:rsidP="00CB7EF4">
      <w:pPr>
        <w:pStyle w:val="Paragrafoelenco"/>
        <w:numPr>
          <w:ilvl w:val="0"/>
          <w:numId w:val="28"/>
        </w:numPr>
        <w:spacing w:before="120" w:after="120" w:line="276" w:lineRule="auto"/>
        <w:rPr>
          <w:lang w:val="en-US"/>
        </w:rPr>
      </w:pPr>
      <w:r w:rsidRPr="001C01B5">
        <w:rPr>
          <w:lang w:val="en-US"/>
        </w:rPr>
        <w:t>The Italian Revenue Agency requested that the notary executing the deed pay mortgage and cadastral taxes at the proportional rate of 3% in connection with the transfer of a property subject to VAT between an ATER (formerly IACP), acting as seller, and an individual purchaser.</w:t>
      </w:r>
    </w:p>
    <w:p w14:paraId="7FC0AFAF" w14:textId="0B949187" w:rsidR="00CB7EF4" w:rsidRPr="001C01B5" w:rsidRDefault="0016201F" w:rsidP="00CB7EF4">
      <w:pPr>
        <w:pStyle w:val="Paragrafoelenco"/>
        <w:numPr>
          <w:ilvl w:val="0"/>
          <w:numId w:val="28"/>
        </w:numPr>
        <w:spacing w:before="120" w:after="120" w:line="276" w:lineRule="auto"/>
        <w:rPr>
          <w:lang w:val="en-US"/>
        </w:rPr>
      </w:pPr>
      <w:r w:rsidRPr="0016201F">
        <w:t>The courts of first and second instance had upheld the taxpayer’s appeal, endorsing the view that the exemption provided for under Article 32(2) also applies to mortgage and cadastral taxes, irrespective of the VAT treatment of the transaction and the applicable registration tax regime.</w:t>
      </w:r>
    </w:p>
    <w:p w14:paraId="1E20B9D2" w14:textId="77777777" w:rsidR="00CB7EF4" w:rsidRPr="001C01B5" w:rsidRDefault="00CB7EF4" w:rsidP="00CB7EF4">
      <w:pPr>
        <w:pStyle w:val="Paragrafoelenco"/>
        <w:numPr>
          <w:ilvl w:val="0"/>
          <w:numId w:val="28"/>
        </w:numPr>
        <w:spacing w:before="120" w:after="120" w:line="276" w:lineRule="auto"/>
        <w:rPr>
          <w:lang w:val="en-US"/>
        </w:rPr>
      </w:pPr>
      <w:r w:rsidRPr="001C01B5">
        <w:rPr>
          <w:lang w:val="en-US"/>
        </w:rPr>
        <w:t>The Supreme Court, however, upheld the Revenue Agency's appeal and, deciding the case on the merits, held that the exemption from mortgage and cadastral taxes does not apply to deeds subject to VAT and to registration tax at the fixed amount of EUR 200 pursuant to the principle of alternativity between VAT and registration tax.</w:t>
      </w:r>
    </w:p>
    <w:p w14:paraId="688580D5" w14:textId="77777777" w:rsidR="00CB7EF4" w:rsidRPr="001C01B5" w:rsidRDefault="00CB7EF4" w:rsidP="00CB7EF4">
      <w:pPr>
        <w:pStyle w:val="Paragrafoelenco"/>
        <w:numPr>
          <w:ilvl w:val="0"/>
          <w:numId w:val="28"/>
        </w:numPr>
        <w:spacing w:before="120" w:after="120" w:line="276" w:lineRule="auto"/>
        <w:rPr>
          <w:lang w:val="en-US"/>
        </w:rPr>
      </w:pPr>
      <w:r w:rsidRPr="001C01B5">
        <w:rPr>
          <w:lang w:val="en-US"/>
        </w:rPr>
        <w:t>The Supreme Court's case law on this issue remains inconsistent, with conflicting decisions having been issued in recent years.</w:t>
      </w:r>
    </w:p>
    <w:p w14:paraId="42F343F8" w14:textId="77777777" w:rsidR="00CB7EF4" w:rsidRPr="00143EC3" w:rsidRDefault="00CB7EF4" w:rsidP="00CB7EF4">
      <w:pPr>
        <w:rPr>
          <w:u w:val="single"/>
          <w:lang w:val="en-US"/>
        </w:rPr>
      </w:pPr>
      <w:r w:rsidRPr="00143EC3">
        <w:rPr>
          <w:u w:val="single"/>
          <w:lang w:val="en-US"/>
        </w:rPr>
        <w:t>Preliminary observations</w:t>
      </w:r>
    </w:p>
    <w:p w14:paraId="09835637" w14:textId="77777777" w:rsidR="00CB7EF4" w:rsidRPr="00953247" w:rsidRDefault="00CB7EF4" w:rsidP="00CB7EF4">
      <w:pPr>
        <w:rPr>
          <w:lang w:val="en-US"/>
        </w:rPr>
      </w:pPr>
      <w:r w:rsidRPr="00953247">
        <w:rPr>
          <w:lang w:val="en-US"/>
        </w:rPr>
        <w:t>The Court's reasoning is not entirely persuasive for a number of reasons:</w:t>
      </w:r>
    </w:p>
    <w:p w14:paraId="0E8F3CA6" w14:textId="77777777" w:rsidR="00CB7EF4" w:rsidRPr="001C01B5" w:rsidRDefault="00CB7EF4" w:rsidP="00CB7EF4">
      <w:pPr>
        <w:pStyle w:val="Paragrafoelenco"/>
        <w:numPr>
          <w:ilvl w:val="0"/>
          <w:numId w:val="29"/>
        </w:numPr>
        <w:spacing w:before="120" w:after="120" w:line="276" w:lineRule="auto"/>
        <w:rPr>
          <w:lang w:val="en-US"/>
        </w:rPr>
      </w:pPr>
      <w:r w:rsidRPr="001C01B5">
        <w:rPr>
          <w:lang w:val="en-US"/>
        </w:rPr>
        <w:lastRenderedPageBreak/>
        <w:t>The Supreme Court ruled that mortgage and cadastral taxes cannot be considered separately from the rest of Article 32. However, this does not appear to be consistent with the wording of Article 32(2), which merely provides for registration tax at the fixed amount of EUR 200 and an exemption from mortgage and cadastral taxes.</w:t>
      </w:r>
    </w:p>
    <w:p w14:paraId="2816566B" w14:textId="77777777" w:rsidR="00CB7EF4" w:rsidRPr="001C01B5" w:rsidRDefault="00CB7EF4" w:rsidP="00CB7EF4">
      <w:pPr>
        <w:pStyle w:val="Paragrafoelenco"/>
        <w:numPr>
          <w:ilvl w:val="0"/>
          <w:numId w:val="29"/>
        </w:numPr>
        <w:spacing w:before="120" w:after="120" w:line="276" w:lineRule="auto"/>
        <w:rPr>
          <w:lang w:val="en-US"/>
        </w:rPr>
      </w:pPr>
      <w:r w:rsidRPr="001C01B5">
        <w:rPr>
          <w:lang w:val="en-US"/>
        </w:rPr>
        <w:t xml:space="preserve">The purpose of the relief is to eliminate transfer taxes in respect of deeds relating to the implementation of public residential housing programmes. As regards mortgage and cadastral taxes, this objective should </w:t>
      </w:r>
      <w:r w:rsidRPr="00FE7E36">
        <w:rPr>
          <w:lang w:val="en-US"/>
        </w:rPr>
        <w:t>be achieved irrespective</w:t>
      </w:r>
      <w:r w:rsidRPr="001C01B5">
        <w:rPr>
          <w:lang w:val="en-US"/>
        </w:rPr>
        <w:t xml:space="preserve"> of the VAT treatment of the transaction or the applicable registration tax regime.</w:t>
      </w:r>
    </w:p>
    <w:p w14:paraId="7BFDFD7E" w14:textId="77777777" w:rsidR="00CB7EF4" w:rsidRPr="001C01B5" w:rsidRDefault="00CB7EF4" w:rsidP="00CB7EF4">
      <w:pPr>
        <w:pStyle w:val="Paragrafoelenco"/>
        <w:numPr>
          <w:ilvl w:val="0"/>
          <w:numId w:val="29"/>
        </w:numPr>
        <w:spacing w:before="120" w:after="120" w:line="276" w:lineRule="auto"/>
        <w:rPr>
          <w:lang w:val="en-US"/>
        </w:rPr>
      </w:pPr>
      <w:r w:rsidRPr="001C01B5">
        <w:rPr>
          <w:lang w:val="en-US"/>
        </w:rPr>
        <w:t xml:space="preserve">The historical and systematic </w:t>
      </w:r>
      <w:r w:rsidRPr="00FE7E36">
        <w:rPr>
          <w:lang w:val="en-US"/>
        </w:rPr>
        <w:t>argument</w:t>
      </w:r>
      <w:r w:rsidRPr="001C01B5">
        <w:rPr>
          <w:lang w:val="en-US"/>
        </w:rPr>
        <w:t xml:space="preserve"> adopted by the Court (namely that Article 32 was enacted after the introduction of VAT and that the legislature's silence on the issue should therefore be regarded as intentional) is not entirely convincing. It may equally be argued that Article 32(2) does not require, as a condition for the exemption, that the relevant deed </w:t>
      </w:r>
      <w:r w:rsidRPr="00FE7E36">
        <w:rPr>
          <w:lang w:val="en-US"/>
        </w:rPr>
        <w:t>falls outside</w:t>
      </w:r>
      <w:r w:rsidRPr="001C01B5">
        <w:rPr>
          <w:lang w:val="en-US"/>
        </w:rPr>
        <w:t xml:space="preserve"> the scope of VAT.</w:t>
      </w:r>
    </w:p>
    <w:p w14:paraId="59F2B492" w14:textId="77777777" w:rsidR="00CB7EF4" w:rsidRPr="00143EC3" w:rsidRDefault="00CB7EF4" w:rsidP="00CB7EF4">
      <w:pPr>
        <w:rPr>
          <w:u w:val="single"/>
          <w:lang w:val="en-US"/>
        </w:rPr>
      </w:pPr>
      <w:r w:rsidRPr="00143EC3">
        <w:rPr>
          <w:u w:val="single"/>
          <w:lang w:val="en-US"/>
        </w:rPr>
        <w:t>Transactions relevant for VAT purposes</w:t>
      </w:r>
    </w:p>
    <w:p w14:paraId="4F063129" w14:textId="77777777" w:rsidR="00CB7EF4" w:rsidRPr="001C01B5" w:rsidRDefault="00CB7EF4" w:rsidP="00CB7EF4">
      <w:pPr>
        <w:pStyle w:val="Paragrafoelenco"/>
        <w:numPr>
          <w:ilvl w:val="0"/>
          <w:numId w:val="30"/>
        </w:numPr>
        <w:spacing w:before="120" w:after="120" w:line="276" w:lineRule="auto"/>
        <w:rPr>
          <w:lang w:val="en-US"/>
        </w:rPr>
      </w:pPr>
      <w:r w:rsidRPr="001C01B5">
        <w:rPr>
          <w:lang w:val="en-US"/>
        </w:rPr>
        <w:t>As is well known, transfers of real estate may be subject to VAT while also attracting proportional registration tax at the rate of 9%. This is the case, for example, for transfers of residential buildings exempt from VAT.</w:t>
      </w:r>
    </w:p>
    <w:p w14:paraId="3B98CFDB" w14:textId="77777777" w:rsidR="00CB7EF4" w:rsidRPr="001C01B5" w:rsidRDefault="00CB7EF4" w:rsidP="00CB7EF4">
      <w:pPr>
        <w:pStyle w:val="Paragrafoelenco"/>
        <w:numPr>
          <w:ilvl w:val="0"/>
          <w:numId w:val="30"/>
        </w:numPr>
        <w:spacing w:before="120" w:after="120" w:line="276" w:lineRule="auto"/>
        <w:rPr>
          <w:lang w:val="en-US"/>
        </w:rPr>
      </w:pPr>
      <w:r w:rsidRPr="001C01B5">
        <w:rPr>
          <w:lang w:val="en-US"/>
        </w:rPr>
        <w:t>Consequently, under the Supreme Court's interpretation, there would be transactions subject to VAT to which the relief under Article 32 applies, and other VATable transactions that are exempt from VAT but to which such relief would not apply.</w:t>
      </w:r>
    </w:p>
    <w:p w14:paraId="706AD5DA" w14:textId="77777777" w:rsidR="00CB7EF4" w:rsidRPr="001C01B5" w:rsidRDefault="00CB7EF4" w:rsidP="00CB7EF4">
      <w:pPr>
        <w:pStyle w:val="Paragrafoelenco"/>
        <w:numPr>
          <w:ilvl w:val="0"/>
          <w:numId w:val="30"/>
        </w:numPr>
        <w:spacing w:before="120" w:after="120" w:line="276" w:lineRule="auto"/>
        <w:rPr>
          <w:lang w:val="en-US"/>
        </w:rPr>
      </w:pPr>
      <w:r w:rsidRPr="001C01B5">
        <w:rPr>
          <w:lang w:val="en-US"/>
        </w:rPr>
        <w:t>This outcome does not appear to be consistent with the overall system governing the taxation of real estate transfers.</w:t>
      </w:r>
    </w:p>
    <w:p w14:paraId="4D9B0F78" w14:textId="533AAE8E" w:rsidR="00CB7EF4" w:rsidRPr="00143EC3" w:rsidRDefault="00CB7EF4" w:rsidP="00CB7EF4">
      <w:pPr>
        <w:rPr>
          <w:u w:val="single"/>
          <w:lang w:val="en-US"/>
        </w:rPr>
      </w:pPr>
      <w:r w:rsidRPr="00143EC3">
        <w:rPr>
          <w:u w:val="single"/>
          <w:lang w:val="en-US"/>
        </w:rPr>
        <w:t xml:space="preserve">Legislative developments concerning Article 32(2) of Presidential Decree </w:t>
      </w:r>
      <w:r w:rsidR="00143EC3">
        <w:rPr>
          <w:u w:val="single"/>
          <w:lang w:val="en-US"/>
        </w:rPr>
        <w:t>n</w:t>
      </w:r>
      <w:r w:rsidRPr="00143EC3">
        <w:rPr>
          <w:u w:val="single"/>
          <w:lang w:val="en-US"/>
        </w:rPr>
        <w:t>o. 601/1973</w:t>
      </w:r>
    </w:p>
    <w:p w14:paraId="24198C7B" w14:textId="308E687D" w:rsidR="00CB7EF4" w:rsidRPr="001C01B5" w:rsidRDefault="00CB7EF4" w:rsidP="00CB7EF4">
      <w:pPr>
        <w:pStyle w:val="Paragrafoelenco"/>
        <w:numPr>
          <w:ilvl w:val="0"/>
          <w:numId w:val="31"/>
        </w:numPr>
        <w:spacing w:before="120" w:after="120" w:line="276" w:lineRule="auto"/>
        <w:rPr>
          <w:lang w:val="en-US"/>
        </w:rPr>
      </w:pPr>
      <w:r w:rsidRPr="001C01B5">
        <w:rPr>
          <w:lang w:val="en-US"/>
        </w:rPr>
        <w:t xml:space="preserve">The tax relief applicable to deeds relating to the implementation of public residential housing programmes was abolished with effect from 1 January 2014 as part of the reform of the registration tax applicable to transfers of real estate (Article 10(4), first sentence, of Legislative Decree </w:t>
      </w:r>
      <w:r w:rsidR="00143EC3">
        <w:rPr>
          <w:lang w:val="en-US"/>
        </w:rPr>
        <w:t>n</w:t>
      </w:r>
      <w:r w:rsidRPr="001C01B5">
        <w:rPr>
          <w:lang w:val="en-US"/>
        </w:rPr>
        <w:t>o. 23 of 14 March 2011).</w:t>
      </w:r>
    </w:p>
    <w:p w14:paraId="032F01E9" w14:textId="0B06B1D2" w:rsidR="00CB7EF4" w:rsidRPr="001C01B5" w:rsidRDefault="00CB7EF4" w:rsidP="00CB7EF4">
      <w:pPr>
        <w:pStyle w:val="Paragrafoelenco"/>
        <w:numPr>
          <w:ilvl w:val="0"/>
          <w:numId w:val="31"/>
        </w:numPr>
        <w:spacing w:before="120" w:after="120" w:line="276" w:lineRule="auto"/>
        <w:rPr>
          <w:bCs/>
          <w:lang w:val="en-US"/>
        </w:rPr>
      </w:pPr>
      <w:r w:rsidRPr="001C01B5">
        <w:rPr>
          <w:lang w:val="en-US"/>
        </w:rPr>
        <w:t xml:space="preserve">The relief was subsequently expressly reinstated by Law </w:t>
      </w:r>
      <w:r w:rsidR="00143EC3">
        <w:rPr>
          <w:lang w:val="en-US"/>
        </w:rPr>
        <w:t>n</w:t>
      </w:r>
      <w:r w:rsidRPr="001C01B5">
        <w:rPr>
          <w:lang w:val="en-US"/>
        </w:rPr>
        <w:t xml:space="preserve">o. 164 of 11 November 2014, enacted upon conversion of Article 20(4-ter) of Decree-Law </w:t>
      </w:r>
      <w:r w:rsidR="00143EC3">
        <w:rPr>
          <w:lang w:val="en-US"/>
        </w:rPr>
        <w:t>n</w:t>
      </w:r>
      <w:r w:rsidRPr="001C01B5">
        <w:rPr>
          <w:lang w:val="en-US"/>
        </w:rPr>
        <w:t>o. 133 of 12 September 2014.</w:t>
      </w:r>
    </w:p>
    <w:p w14:paraId="6383EECA" w14:textId="4D809471" w:rsidR="00B76E19" w:rsidRPr="005501B2" w:rsidRDefault="00B76E19" w:rsidP="00B76E19">
      <w:pPr>
        <w:pStyle w:val="SI-Titolo-11Level2"/>
        <w:rPr>
          <w:b w:val="0"/>
          <w:bCs w:val="0"/>
          <w:lang w:val="en-US"/>
        </w:rPr>
      </w:pPr>
      <w:bookmarkStart w:id="4" w:name="_Toc244267100"/>
      <w:r w:rsidRPr="00B76E19">
        <w:t>Real</w:t>
      </w:r>
      <w:r w:rsidRPr="005501B2">
        <w:rPr>
          <w:lang w:val="en-US"/>
        </w:rPr>
        <w:t xml:space="preserve"> Estate Funds: </w:t>
      </w:r>
      <w:r w:rsidR="005448B9">
        <w:rPr>
          <w:lang w:val="en-US"/>
        </w:rPr>
        <w:t>c</w:t>
      </w:r>
      <w:r w:rsidRPr="005501B2">
        <w:rPr>
          <w:lang w:val="en-US"/>
        </w:rPr>
        <w:t xml:space="preserve">ontributions of </w:t>
      </w:r>
      <w:r w:rsidR="005448B9">
        <w:rPr>
          <w:lang w:val="en-US"/>
        </w:rPr>
        <w:t>properties a</w:t>
      </w:r>
      <w:r w:rsidRPr="005501B2">
        <w:rPr>
          <w:lang w:val="en-US"/>
        </w:rPr>
        <w:t xml:space="preserve">re </w:t>
      </w:r>
      <w:r w:rsidR="005448B9">
        <w:rPr>
          <w:lang w:val="en-US"/>
        </w:rPr>
        <w:t>s</w:t>
      </w:r>
      <w:r w:rsidRPr="005501B2">
        <w:rPr>
          <w:lang w:val="en-US"/>
        </w:rPr>
        <w:t xml:space="preserve">ubject to </w:t>
      </w:r>
      <w:r w:rsidR="005448B9">
        <w:rPr>
          <w:lang w:val="en-US"/>
        </w:rPr>
        <w:t>f</w:t>
      </w:r>
      <w:r w:rsidRPr="005501B2">
        <w:rPr>
          <w:lang w:val="en-US"/>
        </w:rPr>
        <w:t xml:space="preserve">ixed </w:t>
      </w:r>
      <w:r w:rsidR="005448B9">
        <w:rPr>
          <w:lang w:val="en-US"/>
        </w:rPr>
        <w:t>r</w:t>
      </w:r>
      <w:r w:rsidRPr="005501B2">
        <w:rPr>
          <w:lang w:val="en-US"/>
        </w:rPr>
        <w:t xml:space="preserve">egistration </w:t>
      </w:r>
      <w:r w:rsidR="005448B9">
        <w:rPr>
          <w:lang w:val="en-US"/>
        </w:rPr>
        <w:t>t</w:t>
      </w:r>
      <w:r w:rsidRPr="005501B2">
        <w:rPr>
          <w:lang w:val="en-US"/>
        </w:rPr>
        <w:t xml:space="preserve">ax </w:t>
      </w:r>
      <w:r w:rsidR="005448B9">
        <w:rPr>
          <w:lang w:val="en-US"/>
        </w:rPr>
        <w:t>r</w:t>
      </w:r>
      <w:r w:rsidRPr="005501B2">
        <w:rPr>
          <w:lang w:val="en-US"/>
        </w:rPr>
        <w:t xml:space="preserve">egardless of the </w:t>
      </w:r>
      <w:r w:rsidR="005448B9">
        <w:rPr>
          <w:lang w:val="en-US"/>
        </w:rPr>
        <w:t>t</w:t>
      </w:r>
      <w:r w:rsidRPr="005501B2">
        <w:rPr>
          <w:lang w:val="en-US"/>
        </w:rPr>
        <w:t xml:space="preserve">ype of </w:t>
      </w:r>
      <w:r w:rsidR="005448B9">
        <w:rPr>
          <w:lang w:val="en-US"/>
        </w:rPr>
        <w:t>p</w:t>
      </w:r>
      <w:r w:rsidRPr="005501B2">
        <w:rPr>
          <w:lang w:val="en-US"/>
        </w:rPr>
        <w:t>roperty</w:t>
      </w:r>
      <w:r w:rsidR="00C82528">
        <w:rPr>
          <w:lang w:val="en-US"/>
        </w:rPr>
        <w:t xml:space="preserve"> | </w:t>
      </w:r>
      <w:r w:rsidR="00C82528" w:rsidRPr="00C82528">
        <w:rPr>
          <w:i/>
          <w:iCs/>
          <w:lang w:val="en-US"/>
        </w:rPr>
        <w:t>9 July 2026</w:t>
      </w:r>
      <w:bookmarkEnd w:id="4"/>
    </w:p>
    <w:p w14:paraId="576C9FC9" w14:textId="77777777" w:rsidR="00B76E19" w:rsidRPr="005501B2" w:rsidRDefault="00B76E19" w:rsidP="00B76E19">
      <w:pPr>
        <w:rPr>
          <w:lang w:val="en-US"/>
        </w:rPr>
      </w:pPr>
      <w:r w:rsidRPr="005501B2">
        <w:rPr>
          <w:lang w:val="en-US"/>
        </w:rPr>
        <w:t>In several recent decisions, the Italian Supreme Court has confirmed the autonomous tax framework governing real estate investment funds, distinct from the ordinary tax rules applicable to transfers of real estate for consideration.</w:t>
      </w:r>
    </w:p>
    <w:p w14:paraId="72407000" w14:textId="7CEBAE8A" w:rsidR="00B76E19" w:rsidRPr="005501B2" w:rsidRDefault="00B76E19" w:rsidP="00B76E19">
      <w:pPr>
        <w:rPr>
          <w:i/>
          <w:iCs/>
          <w:lang w:val="en-US"/>
        </w:rPr>
      </w:pPr>
      <w:r w:rsidRPr="005501B2">
        <w:rPr>
          <w:i/>
          <w:iCs/>
          <w:lang w:val="en-US"/>
        </w:rPr>
        <w:t>Italian Supreme Court (Civil Section V)</w:t>
      </w:r>
      <w:r w:rsidR="002D4D30">
        <w:rPr>
          <w:i/>
          <w:iCs/>
          <w:lang w:val="en-US"/>
        </w:rPr>
        <w:t xml:space="preserve">, </w:t>
      </w:r>
      <w:r w:rsidRPr="005501B2">
        <w:rPr>
          <w:i/>
          <w:iCs/>
          <w:lang w:val="en-US"/>
        </w:rPr>
        <w:t xml:space="preserve">Order </w:t>
      </w:r>
      <w:r w:rsidR="002D4D30">
        <w:rPr>
          <w:i/>
          <w:iCs/>
          <w:lang w:val="en-US"/>
        </w:rPr>
        <w:t>n</w:t>
      </w:r>
      <w:r w:rsidRPr="005501B2">
        <w:rPr>
          <w:i/>
          <w:iCs/>
          <w:lang w:val="en-US"/>
        </w:rPr>
        <w:t>o. 20759 of 18 June 2026</w:t>
      </w:r>
      <w:r w:rsidR="002D4D30">
        <w:rPr>
          <w:i/>
          <w:iCs/>
          <w:lang w:val="en-US"/>
        </w:rPr>
        <w:t xml:space="preserve">, </w:t>
      </w:r>
      <w:r w:rsidRPr="005501B2">
        <w:rPr>
          <w:i/>
          <w:iCs/>
          <w:lang w:val="en-US"/>
        </w:rPr>
        <w:t xml:space="preserve">Orders </w:t>
      </w:r>
      <w:r w:rsidR="002D4D30">
        <w:rPr>
          <w:i/>
          <w:iCs/>
          <w:lang w:val="en-US"/>
        </w:rPr>
        <w:t>n</w:t>
      </w:r>
      <w:r w:rsidRPr="005501B2">
        <w:rPr>
          <w:i/>
          <w:iCs/>
          <w:lang w:val="en-US"/>
        </w:rPr>
        <w:t>os. 22561 and 22564 of 1 July 2026</w:t>
      </w:r>
      <w:r w:rsidR="002D4D30">
        <w:rPr>
          <w:i/>
          <w:iCs/>
          <w:lang w:val="en-US"/>
        </w:rPr>
        <w:t xml:space="preserve">. </w:t>
      </w:r>
      <w:r w:rsidRPr="005501B2">
        <w:rPr>
          <w:i/>
          <w:iCs/>
          <w:lang w:val="en-US"/>
        </w:rPr>
        <w:t>Consistent with</w:t>
      </w:r>
      <w:r w:rsidR="00EF19D7">
        <w:rPr>
          <w:i/>
          <w:iCs/>
          <w:lang w:val="en-US"/>
        </w:rPr>
        <w:t>:</w:t>
      </w:r>
      <w:r w:rsidRPr="005501B2">
        <w:rPr>
          <w:i/>
          <w:iCs/>
          <w:lang w:val="en-US"/>
        </w:rPr>
        <w:t xml:space="preserve"> Judgment </w:t>
      </w:r>
      <w:r w:rsidR="00EF19D7">
        <w:rPr>
          <w:i/>
          <w:iCs/>
          <w:lang w:val="en-US"/>
        </w:rPr>
        <w:t>n</w:t>
      </w:r>
      <w:r w:rsidRPr="005501B2">
        <w:rPr>
          <w:i/>
          <w:iCs/>
          <w:lang w:val="en-US"/>
        </w:rPr>
        <w:t>o. 3218/2024</w:t>
      </w:r>
    </w:p>
    <w:p w14:paraId="324F6112" w14:textId="1AD2E525" w:rsidR="00B76E19" w:rsidRPr="00C82528" w:rsidRDefault="00B76E19" w:rsidP="00B76E19">
      <w:pPr>
        <w:rPr>
          <w:u w:val="single"/>
          <w:lang w:val="en-US"/>
        </w:rPr>
      </w:pPr>
      <w:r w:rsidRPr="00C82528">
        <w:rPr>
          <w:u w:val="single"/>
          <w:lang w:val="en-US"/>
        </w:rPr>
        <w:t xml:space="preserve">The </w:t>
      </w:r>
      <w:r w:rsidR="00C82528">
        <w:rPr>
          <w:u w:val="single"/>
          <w:lang w:val="en-US"/>
        </w:rPr>
        <w:t>c</w:t>
      </w:r>
      <w:r w:rsidRPr="00C82528">
        <w:rPr>
          <w:u w:val="single"/>
          <w:lang w:val="en-US"/>
        </w:rPr>
        <w:t>ase</w:t>
      </w:r>
    </w:p>
    <w:p w14:paraId="2A4BCED9" w14:textId="77777777" w:rsidR="00B76E19" w:rsidRPr="00B0532C" w:rsidRDefault="00B76E19" w:rsidP="00B76E19">
      <w:pPr>
        <w:rPr>
          <w:i/>
          <w:iCs/>
          <w:lang w:val="en-US"/>
        </w:rPr>
      </w:pPr>
      <w:r w:rsidRPr="00B0532C">
        <w:rPr>
          <w:i/>
          <w:iCs/>
          <w:lang w:val="en-US"/>
        </w:rPr>
        <w:t>Subscription of units in a real estate investment fund through contributions of real estate</w:t>
      </w:r>
    </w:p>
    <w:p w14:paraId="1575790E" w14:textId="77777777" w:rsidR="00B76E19" w:rsidRPr="00B0532C" w:rsidRDefault="00B76E19" w:rsidP="00B76E19">
      <w:pPr>
        <w:rPr>
          <w:lang w:val="en-US"/>
        </w:rPr>
      </w:pPr>
      <w:r w:rsidRPr="00B0532C">
        <w:rPr>
          <w:lang w:val="en-US"/>
        </w:rPr>
        <w:lastRenderedPageBreak/>
        <w:t>The Italian Revenue Agency's position</w:t>
      </w:r>
    </w:p>
    <w:p w14:paraId="56B1D14C" w14:textId="156CE70B" w:rsidR="00B76E19" w:rsidRPr="005501B2" w:rsidRDefault="00B76E19" w:rsidP="00B76E19">
      <w:pPr>
        <w:rPr>
          <w:lang w:val="en-US"/>
        </w:rPr>
      </w:pPr>
      <w:r w:rsidRPr="005501B2">
        <w:rPr>
          <w:lang w:val="en-US"/>
        </w:rPr>
        <w:t xml:space="preserve">The Italian Revenue Agency issued a tax assessment notice claiming proportional registration tax at the rate of 9% (Article 1 of Tariff, Part I, Presidential Decree </w:t>
      </w:r>
      <w:r w:rsidR="005448B9">
        <w:rPr>
          <w:lang w:val="en-US"/>
        </w:rPr>
        <w:t>n</w:t>
      </w:r>
      <w:r w:rsidRPr="005501B2">
        <w:rPr>
          <w:lang w:val="en-US"/>
        </w:rPr>
        <w:t>o. 131/1986) in relation to the contribution by a bank to a real estate investment fund of properties other than those qualifying as inherently instrumental properties.</w:t>
      </w:r>
    </w:p>
    <w:p w14:paraId="537FB3FA" w14:textId="77777777" w:rsidR="00B76E19" w:rsidRPr="00B0532C" w:rsidRDefault="00B76E19" w:rsidP="00B76E19">
      <w:pPr>
        <w:rPr>
          <w:lang w:val="en-US"/>
        </w:rPr>
      </w:pPr>
      <w:r w:rsidRPr="00B0532C">
        <w:rPr>
          <w:lang w:val="en-US"/>
        </w:rPr>
        <w:t>The taxpayer's position</w:t>
      </w:r>
    </w:p>
    <w:p w14:paraId="65284E11" w14:textId="622A1C73" w:rsidR="00B76E19" w:rsidRPr="006D0297" w:rsidRDefault="00B76E19" w:rsidP="00B76E19">
      <w:pPr>
        <w:rPr>
          <w:lang w:val="en-US"/>
        </w:rPr>
      </w:pPr>
      <w:r w:rsidRPr="005501B2">
        <w:rPr>
          <w:lang w:val="en-US"/>
        </w:rPr>
        <w:t xml:space="preserve">The taxpayer argued that the transaction should fall within the special regime applicable to "acts relating to the establishment of collective investment funds and the subscription of units", which provides for registration tax at the fixed amount of EUR 200 (Article 7 of the Table annexed to Presidential Decree </w:t>
      </w:r>
      <w:r w:rsidR="005448B9">
        <w:rPr>
          <w:lang w:val="en-US"/>
        </w:rPr>
        <w:t>n</w:t>
      </w:r>
      <w:r w:rsidRPr="005501B2">
        <w:rPr>
          <w:lang w:val="en-US"/>
        </w:rPr>
        <w:t xml:space="preserve">o. 131/1986 and Article 9 of Decree-Law </w:t>
      </w:r>
      <w:r w:rsidR="005448B9">
        <w:rPr>
          <w:lang w:val="en-US"/>
        </w:rPr>
        <w:t>n</w:t>
      </w:r>
      <w:r w:rsidRPr="005501B2">
        <w:rPr>
          <w:lang w:val="en-US"/>
        </w:rPr>
        <w:t>o. 351/2001).</w:t>
      </w:r>
    </w:p>
    <w:p w14:paraId="5647D09E" w14:textId="77777777" w:rsidR="00B76E19" w:rsidRPr="006D0297" w:rsidRDefault="00B76E19" w:rsidP="00B76E19">
      <w:pPr>
        <w:rPr>
          <w:i/>
          <w:iCs/>
          <w:lang w:val="en-US"/>
        </w:rPr>
      </w:pPr>
      <w:r w:rsidRPr="006D0297">
        <w:rPr>
          <w:i/>
          <w:iCs/>
          <w:lang w:val="en-US"/>
        </w:rPr>
        <w:t>For registration tax purposes, where real estate is contributed to a real estate investment fund in exchange for fund units, does the special regime applicable to "acts relating to the establishment of collective investment funds and the subscription of units" remain in force, or has it been repealed by the 2011 reform of the registration tax applicable to real estate transfers?</w:t>
      </w:r>
    </w:p>
    <w:p w14:paraId="5A95DFF2" w14:textId="76E65657" w:rsidR="00B76E19" w:rsidRPr="00805D60" w:rsidRDefault="00B76E19" w:rsidP="00B76E19">
      <w:pPr>
        <w:rPr>
          <w:u w:val="single"/>
          <w:lang w:val="en-US"/>
        </w:rPr>
      </w:pPr>
      <w:r w:rsidRPr="00805D60">
        <w:rPr>
          <w:u w:val="single"/>
          <w:lang w:val="en-US"/>
        </w:rPr>
        <w:t xml:space="preserve">The </w:t>
      </w:r>
      <w:r w:rsidR="00805D60">
        <w:rPr>
          <w:u w:val="single"/>
          <w:lang w:val="en-US"/>
        </w:rPr>
        <w:t>d</w:t>
      </w:r>
      <w:r w:rsidRPr="00805D60">
        <w:rPr>
          <w:u w:val="single"/>
          <w:lang w:val="en-US"/>
        </w:rPr>
        <w:t>ecision</w:t>
      </w:r>
    </w:p>
    <w:p w14:paraId="42BD2F70" w14:textId="77777777" w:rsidR="00B76E19" w:rsidRPr="00805D60" w:rsidRDefault="00B76E19" w:rsidP="00B76E19">
      <w:pPr>
        <w:rPr>
          <w:lang w:val="en-US"/>
        </w:rPr>
      </w:pPr>
      <w:r w:rsidRPr="00805D60">
        <w:rPr>
          <w:lang w:val="en-US"/>
        </w:rPr>
        <w:t>The Supreme Court confirms the application of fixed registration tax</w:t>
      </w:r>
    </w:p>
    <w:p w14:paraId="6ED1C46F" w14:textId="19FE0A02" w:rsidR="00B76E19" w:rsidRDefault="00B76E19" w:rsidP="00B76E19">
      <w:pPr>
        <w:pStyle w:val="Paragrafoelenco"/>
        <w:numPr>
          <w:ilvl w:val="0"/>
          <w:numId w:val="33"/>
        </w:numPr>
        <w:spacing w:before="120" w:after="120" w:line="276" w:lineRule="auto"/>
        <w:rPr>
          <w:lang w:val="en-US"/>
        </w:rPr>
      </w:pPr>
      <w:r w:rsidRPr="00636A1F">
        <w:rPr>
          <w:lang w:val="en-US"/>
        </w:rPr>
        <w:t xml:space="preserve">The special regime applicable to investment funds under Article 7 of the Table annexed to Presidential Decree </w:t>
      </w:r>
      <w:r w:rsidR="005448B9">
        <w:rPr>
          <w:lang w:val="en-US"/>
        </w:rPr>
        <w:t>n</w:t>
      </w:r>
      <w:r w:rsidRPr="00636A1F">
        <w:rPr>
          <w:lang w:val="en-US"/>
        </w:rPr>
        <w:t xml:space="preserve">o. 131/1986 (applicable to real estate investment funds pursuant to Article 9 of Decree-Law </w:t>
      </w:r>
      <w:r w:rsidR="00E91188">
        <w:rPr>
          <w:lang w:val="en-US"/>
        </w:rPr>
        <w:t>n</w:t>
      </w:r>
      <w:r w:rsidRPr="00636A1F">
        <w:rPr>
          <w:lang w:val="en-US"/>
        </w:rPr>
        <w:t>o. 351/2001), which provides for registration tax of EUR 200, does not constitute a tax relief but rather the ordinary tax regime governing contributions to real estate investment funds.</w:t>
      </w:r>
    </w:p>
    <w:p w14:paraId="0069D3FC" w14:textId="4E2AA476" w:rsidR="00B76E19" w:rsidRPr="00636A1F" w:rsidRDefault="00B76E19" w:rsidP="00B76E19">
      <w:pPr>
        <w:pStyle w:val="Paragrafoelenco"/>
        <w:numPr>
          <w:ilvl w:val="0"/>
          <w:numId w:val="33"/>
        </w:numPr>
        <w:spacing w:before="120" w:after="120" w:line="276" w:lineRule="auto"/>
        <w:rPr>
          <w:lang w:val="en-US"/>
        </w:rPr>
      </w:pPr>
      <w:r w:rsidRPr="003B7FCE">
        <w:rPr>
          <w:lang w:val="en-US"/>
        </w:rPr>
        <w:t xml:space="preserve">For registration tax purposes, contributions of real estate to a real estate investment fund in exchange for the subscription of fund units do not constitute transfers of real estate for consideration within the meaning of Article 1 of the Tariff, Part I, of Presidential Decree </w:t>
      </w:r>
      <w:r w:rsidR="005448B9">
        <w:rPr>
          <w:lang w:val="en-US"/>
        </w:rPr>
        <w:t>n</w:t>
      </w:r>
      <w:r w:rsidRPr="003B7FCE">
        <w:rPr>
          <w:lang w:val="en-US"/>
        </w:rPr>
        <w:t>o. 131/1986</w:t>
      </w:r>
    </w:p>
    <w:p w14:paraId="76F60F2F" w14:textId="77777777" w:rsidR="00B76E19" w:rsidRPr="00847A1F" w:rsidRDefault="00B76E19" w:rsidP="00B76E19">
      <w:pPr>
        <w:pStyle w:val="Paragrafoelenco"/>
        <w:numPr>
          <w:ilvl w:val="0"/>
          <w:numId w:val="33"/>
        </w:numPr>
        <w:spacing w:before="120" w:after="120" w:line="276" w:lineRule="auto"/>
        <w:rPr>
          <w:lang w:val="en-US"/>
        </w:rPr>
      </w:pPr>
      <w:r w:rsidRPr="00847A1F">
        <w:rPr>
          <w:lang w:val="en-US"/>
        </w:rPr>
        <w:t>Accordingly, this special regime was not repealed by the 2011 reform of the registration tax applicable to real estate transfers, which abolished various tax reliefs relating to transfers of real estate for consideration.</w:t>
      </w:r>
    </w:p>
    <w:p w14:paraId="58B17775" w14:textId="77777777" w:rsidR="00B76E19" w:rsidRPr="005448B9" w:rsidRDefault="00B76E19" w:rsidP="00B76E19">
      <w:pPr>
        <w:rPr>
          <w:u w:val="single"/>
          <w:lang w:val="en-US"/>
        </w:rPr>
      </w:pPr>
      <w:r w:rsidRPr="005448B9">
        <w:rPr>
          <w:u w:val="single"/>
          <w:lang w:val="en-US"/>
        </w:rPr>
        <w:t>The Supreme Court's Reasoning</w:t>
      </w:r>
    </w:p>
    <w:p w14:paraId="2B40B59F" w14:textId="2A742196" w:rsidR="00B76E19" w:rsidRPr="005448B9" w:rsidRDefault="00B76E19" w:rsidP="00B76E19">
      <w:pPr>
        <w:rPr>
          <w:lang w:val="en-US"/>
        </w:rPr>
      </w:pPr>
      <w:r w:rsidRPr="005448B9">
        <w:rPr>
          <w:lang w:val="en-US"/>
        </w:rPr>
        <w:t xml:space="preserve">Decree-Law </w:t>
      </w:r>
      <w:r w:rsidR="005448B9">
        <w:rPr>
          <w:lang w:val="en-US"/>
        </w:rPr>
        <w:t>n</w:t>
      </w:r>
      <w:r w:rsidRPr="005448B9">
        <w:rPr>
          <w:lang w:val="en-US"/>
        </w:rPr>
        <w:t>o. 351/2001 as the Autonomous Tax Framework for Real Estate Investment Funds</w:t>
      </w:r>
    </w:p>
    <w:p w14:paraId="6C8460BD" w14:textId="48B3D5EA" w:rsidR="00B76E19" w:rsidRPr="003B7FCE" w:rsidRDefault="00B76E19" w:rsidP="00B76E19">
      <w:pPr>
        <w:rPr>
          <w:lang w:val="en-US"/>
        </w:rPr>
      </w:pPr>
      <w:r w:rsidRPr="003B7FCE">
        <w:rPr>
          <w:lang w:val="en-US"/>
        </w:rPr>
        <w:t xml:space="preserve">According to the settled case law of the Supreme Court, Decree-Law </w:t>
      </w:r>
      <w:r w:rsidR="00E91188">
        <w:rPr>
          <w:lang w:val="en-US"/>
        </w:rPr>
        <w:t>n</w:t>
      </w:r>
      <w:r w:rsidRPr="003B7FCE">
        <w:rPr>
          <w:lang w:val="en-US"/>
        </w:rPr>
        <w:t>o. 351/2001, governing the taxation of real estate investment funds, constitutes the autonomous tax framework applicable to such funds for the purposes of the various taxes, including registration tax.</w:t>
      </w:r>
    </w:p>
    <w:p w14:paraId="257A9018" w14:textId="5F5C97A1" w:rsidR="00B76E19" w:rsidRPr="005448B9" w:rsidRDefault="00B76E19" w:rsidP="00B76E19">
      <w:pPr>
        <w:pStyle w:val="Paragrafoelenco"/>
        <w:numPr>
          <w:ilvl w:val="0"/>
          <w:numId w:val="34"/>
        </w:numPr>
        <w:spacing w:before="120" w:after="120" w:line="276" w:lineRule="auto"/>
        <w:rPr>
          <w:lang w:val="en-US"/>
        </w:rPr>
      </w:pPr>
      <w:r w:rsidRPr="005448B9">
        <w:rPr>
          <w:lang w:val="en-US"/>
        </w:rPr>
        <w:t xml:space="preserve">A self-contained body of rules: Decree-Law </w:t>
      </w:r>
      <w:r w:rsidR="00E91188">
        <w:rPr>
          <w:lang w:val="en-US"/>
        </w:rPr>
        <w:t>n</w:t>
      </w:r>
      <w:r w:rsidRPr="005448B9">
        <w:rPr>
          <w:lang w:val="en-US"/>
        </w:rPr>
        <w:t>o. 351/2001 (Provisions on Real Estate Investment Funds) establishes a separate and comprehensive set of tax rules governing real estate investment funds.</w:t>
      </w:r>
    </w:p>
    <w:p w14:paraId="69F69EF7" w14:textId="77777777" w:rsidR="00B76E19" w:rsidRPr="005448B9" w:rsidRDefault="00B76E19" w:rsidP="00B76E19">
      <w:pPr>
        <w:pStyle w:val="Paragrafoelenco"/>
        <w:numPr>
          <w:ilvl w:val="0"/>
          <w:numId w:val="34"/>
        </w:numPr>
        <w:spacing w:before="120" w:after="120" w:line="276" w:lineRule="auto"/>
        <w:rPr>
          <w:lang w:val="en-US"/>
        </w:rPr>
      </w:pPr>
      <w:r w:rsidRPr="005448B9">
        <w:rPr>
          <w:lang w:val="en-US"/>
        </w:rPr>
        <w:t>Coverage of the entire life cycle: this framework governs all tax-relevant aspects of real estate investment funds, including their establishment, the subscription of fund units, the management of the underlying real estate assets and the distribution of income.</w:t>
      </w:r>
    </w:p>
    <w:p w14:paraId="353D570D" w14:textId="77777777" w:rsidR="00B76E19" w:rsidRPr="005448B9" w:rsidRDefault="00B76E19" w:rsidP="00B76E19">
      <w:pPr>
        <w:pStyle w:val="Paragrafoelenco"/>
        <w:numPr>
          <w:ilvl w:val="0"/>
          <w:numId w:val="34"/>
        </w:numPr>
        <w:spacing w:before="120" w:after="120" w:line="276" w:lineRule="auto"/>
        <w:rPr>
          <w:lang w:val="en-US"/>
        </w:rPr>
      </w:pPr>
      <w:r w:rsidRPr="005448B9">
        <w:rPr>
          <w:lang w:val="en-US"/>
        </w:rPr>
        <w:lastRenderedPageBreak/>
        <w:t>A comprehensive and systematic framework: the tax provisions governing real estate investment funds form part of a coherent and substantially complete system that has been in place since 2001.</w:t>
      </w:r>
    </w:p>
    <w:p w14:paraId="0D416817" w14:textId="66F2AA00" w:rsidR="00B76E19" w:rsidRPr="005448B9" w:rsidRDefault="00B76E19" w:rsidP="00B76E19">
      <w:pPr>
        <w:pStyle w:val="Paragrafoelenco"/>
        <w:numPr>
          <w:ilvl w:val="0"/>
          <w:numId w:val="34"/>
        </w:numPr>
        <w:spacing w:before="120" w:after="120" w:line="276" w:lineRule="auto"/>
        <w:rPr>
          <w:lang w:val="en-US"/>
        </w:rPr>
      </w:pPr>
      <w:r w:rsidRPr="005448B9">
        <w:rPr>
          <w:lang w:val="en-US"/>
        </w:rPr>
        <w:t xml:space="preserve">Promotion of the sector: Decree-Law </w:t>
      </w:r>
      <w:r w:rsidR="005448B9">
        <w:rPr>
          <w:lang w:val="en-US"/>
        </w:rPr>
        <w:t>n</w:t>
      </w:r>
      <w:r w:rsidRPr="005448B9">
        <w:rPr>
          <w:lang w:val="en-US"/>
        </w:rPr>
        <w:t>o. 351/2001 was enacted with the objective of supporting the development of the real estate investment fund industry.</w:t>
      </w:r>
    </w:p>
    <w:p w14:paraId="2142F015" w14:textId="2BDA78F7" w:rsidR="00B76E19" w:rsidRPr="005448B9" w:rsidRDefault="00B76E19" w:rsidP="00B76E19">
      <w:pPr>
        <w:rPr>
          <w:u w:val="single"/>
        </w:rPr>
      </w:pPr>
      <w:r w:rsidRPr="005448B9">
        <w:rPr>
          <w:u w:val="single"/>
        </w:rPr>
        <w:t xml:space="preserve">In </w:t>
      </w:r>
      <w:r w:rsidR="005448B9">
        <w:rPr>
          <w:u w:val="single"/>
        </w:rPr>
        <w:t>s</w:t>
      </w:r>
      <w:r w:rsidRPr="005448B9">
        <w:rPr>
          <w:u w:val="single"/>
        </w:rPr>
        <w:t>ummary</w:t>
      </w:r>
    </w:p>
    <w:p w14:paraId="2001122C" w14:textId="4CFB31DB" w:rsidR="00B76E19" w:rsidRPr="005448B9" w:rsidRDefault="00B76E19" w:rsidP="00B76E19">
      <w:pPr>
        <w:rPr>
          <w:lang w:val="en-US"/>
        </w:rPr>
      </w:pPr>
      <w:r w:rsidRPr="005448B9">
        <w:rPr>
          <w:lang w:val="en-US"/>
        </w:rPr>
        <w:t xml:space="preserve">Implications for </w:t>
      </w:r>
      <w:r w:rsidR="005448B9">
        <w:rPr>
          <w:lang w:val="en-US"/>
        </w:rPr>
        <w:t>c</w:t>
      </w:r>
      <w:r w:rsidRPr="005448B9">
        <w:rPr>
          <w:lang w:val="en-US"/>
        </w:rPr>
        <w:t xml:space="preserve">ontributions of </w:t>
      </w:r>
      <w:r w:rsidR="005448B9">
        <w:rPr>
          <w:lang w:val="en-US"/>
        </w:rPr>
        <w:t xml:space="preserve">properties </w:t>
      </w:r>
      <w:r w:rsidRPr="005448B9">
        <w:rPr>
          <w:lang w:val="en-US"/>
        </w:rPr>
        <w:t>to Real Estate Investment Funds</w:t>
      </w:r>
    </w:p>
    <w:p w14:paraId="6422F2D5" w14:textId="1CEB5B95" w:rsidR="00B76E19" w:rsidRDefault="00B76E19" w:rsidP="00B76E19">
      <w:pPr>
        <w:pStyle w:val="Paragrafoelenco"/>
        <w:numPr>
          <w:ilvl w:val="0"/>
          <w:numId w:val="36"/>
        </w:numPr>
        <w:spacing w:before="120" w:after="120" w:line="276" w:lineRule="auto"/>
        <w:rPr>
          <w:lang w:val="en-US"/>
        </w:rPr>
      </w:pPr>
      <w:r w:rsidRPr="005E3551">
        <w:rPr>
          <w:lang w:val="en-US"/>
        </w:rPr>
        <w:t xml:space="preserve">The contribution of </w:t>
      </w:r>
      <w:r w:rsidR="005448B9">
        <w:rPr>
          <w:lang w:val="en-US"/>
        </w:rPr>
        <w:t xml:space="preserve">properties </w:t>
      </w:r>
      <w:r w:rsidRPr="005E3551">
        <w:rPr>
          <w:lang w:val="en-US"/>
        </w:rPr>
        <w:t>to a real estate investment fund in exchange for the subscription of fund units is subject to fixed registration tax (EUR 200), rather than proportional registration tax (9%), regardless of the type of property contributed.</w:t>
      </w:r>
    </w:p>
    <w:p w14:paraId="2BCAAED8" w14:textId="77777777" w:rsidR="00B76E19" w:rsidRPr="0023036C" w:rsidRDefault="00B76E19" w:rsidP="00B76E19">
      <w:pPr>
        <w:pStyle w:val="Paragrafoelenco"/>
        <w:numPr>
          <w:ilvl w:val="0"/>
          <w:numId w:val="36"/>
        </w:numPr>
        <w:spacing w:before="120" w:after="120" w:line="276" w:lineRule="auto"/>
        <w:rPr>
          <w:lang w:val="en-US"/>
        </w:rPr>
      </w:pPr>
      <w:r w:rsidRPr="0023036C">
        <w:rPr>
          <w:lang w:val="en-US"/>
        </w:rPr>
        <w:t>As is well established, the contribution of instrumental real estate (i.e. broadly, non-residential property) falling within the scope of VAT is, in any event, subject to fixed registration tax pursuant to the principle of alternativity between VAT and registration tax.</w:t>
      </w:r>
    </w:p>
    <w:p w14:paraId="19A269AA" w14:textId="77777777" w:rsidR="00B76E19" w:rsidRPr="0023036C" w:rsidRDefault="00B76E19" w:rsidP="00B76E19">
      <w:pPr>
        <w:pStyle w:val="Paragrafoelenco"/>
        <w:numPr>
          <w:ilvl w:val="0"/>
          <w:numId w:val="35"/>
        </w:numPr>
        <w:spacing w:before="120" w:after="120" w:line="276" w:lineRule="auto"/>
        <w:rPr>
          <w:bCs/>
          <w:lang w:val="en-US"/>
        </w:rPr>
      </w:pPr>
      <w:r w:rsidRPr="0023036C">
        <w:rPr>
          <w:lang w:val="en-US"/>
        </w:rPr>
        <w:t>Conversely, contributions of real estate falling outside the scope of VAT, as well as contributions of residential property exempt from VAT, would be subject to proportional registration tax at the rate of 9% in the absence of the special regime applicable to the subscription of units in collective investment funds.</w:t>
      </w:r>
    </w:p>
    <w:p w14:paraId="6B658576" w14:textId="0D692244" w:rsidR="0037412E" w:rsidRPr="00960A39" w:rsidRDefault="0037412E" w:rsidP="0037412E">
      <w:pPr>
        <w:pStyle w:val="SI-Titolo-11Level2"/>
        <w:rPr>
          <w:i/>
          <w:iCs/>
          <w:lang w:val="en-US"/>
        </w:rPr>
      </w:pPr>
      <w:bookmarkStart w:id="5" w:name="_Toc244267101"/>
      <w:r w:rsidRPr="00960A39">
        <w:t xml:space="preserve">Trusts and Real Estate: </w:t>
      </w:r>
      <w:r w:rsidR="00B42101">
        <w:t>n</w:t>
      </w:r>
      <w:r w:rsidRPr="00960A39">
        <w:t xml:space="preserve">ew </w:t>
      </w:r>
      <w:r w:rsidR="00B42101">
        <w:t>r</w:t>
      </w:r>
      <w:r w:rsidRPr="00960A39">
        <w:t xml:space="preserve">ules on </w:t>
      </w:r>
      <w:r w:rsidR="00B42101">
        <w:t>m</w:t>
      </w:r>
      <w:r w:rsidRPr="00960A39">
        <w:t xml:space="preserve">ortgage and </w:t>
      </w:r>
      <w:r w:rsidR="00B42101">
        <w:t>c</w:t>
      </w:r>
      <w:r w:rsidRPr="00960A39">
        <w:t xml:space="preserve">adastral </w:t>
      </w:r>
      <w:r w:rsidR="00B42101">
        <w:t>t</w:t>
      </w:r>
      <w:r w:rsidRPr="00960A39">
        <w:t>axes</w:t>
      </w:r>
      <w:r>
        <w:t xml:space="preserve"> </w:t>
      </w:r>
      <w:r w:rsidR="00B42101">
        <w:t>|</w:t>
      </w:r>
      <w:r>
        <w:t xml:space="preserve"> </w:t>
      </w:r>
      <w:r w:rsidRPr="00960A39">
        <w:rPr>
          <w:i/>
          <w:iCs/>
        </w:rPr>
        <w:t>7 July 2026</w:t>
      </w:r>
      <w:bookmarkEnd w:id="5"/>
    </w:p>
    <w:p w14:paraId="30BDEA7E" w14:textId="77777777" w:rsidR="0037412E" w:rsidRPr="00F37F4D" w:rsidRDefault="0037412E" w:rsidP="0037412E">
      <w:pPr>
        <w:rPr>
          <w:lang w:val="en-US"/>
        </w:rPr>
      </w:pPr>
      <w:r w:rsidRPr="00F37F4D">
        <w:rPr>
          <w:lang w:val="en-US"/>
        </w:rPr>
        <w:t>Article 13 of the draft Omnibus Corrective Legislative Decree, approved by the Council of Ministers on 10 June 2026 and currently under parliamentary review, introduces amendments to the tax treatment of real estate transfers involving trusts.</w:t>
      </w:r>
    </w:p>
    <w:p w14:paraId="3B3A2E92" w14:textId="77777777" w:rsidR="00B42101" w:rsidRDefault="0037412E" w:rsidP="00B42101">
      <w:pPr>
        <w:spacing w:line="240" w:lineRule="auto"/>
        <w:rPr>
          <w:lang w:val="en-US"/>
        </w:rPr>
      </w:pPr>
      <w:r w:rsidRPr="00F37F4D">
        <w:rPr>
          <w:lang w:val="en-US"/>
        </w:rPr>
        <w:t xml:space="preserve">Article 4-bis of Legislative Decree </w:t>
      </w:r>
      <w:r w:rsidR="00B42101">
        <w:rPr>
          <w:lang w:val="en-US"/>
        </w:rPr>
        <w:t>n</w:t>
      </w:r>
      <w:r w:rsidRPr="00F37F4D">
        <w:rPr>
          <w:lang w:val="en-US"/>
        </w:rPr>
        <w:t>o. 346/1990</w:t>
      </w:r>
      <w:r w:rsidR="00B42101">
        <w:rPr>
          <w:lang w:val="en-US"/>
        </w:rPr>
        <w:t xml:space="preserve"> </w:t>
      </w:r>
    </w:p>
    <w:p w14:paraId="00D9A989" w14:textId="63CA47E5" w:rsidR="0037412E" w:rsidRPr="00F37F4D" w:rsidRDefault="0037412E" w:rsidP="00B42101">
      <w:pPr>
        <w:spacing w:line="240" w:lineRule="auto"/>
        <w:rPr>
          <w:lang w:val="en-US"/>
        </w:rPr>
      </w:pPr>
      <w:r w:rsidRPr="00F37F4D">
        <w:rPr>
          <w:lang w:val="en-US"/>
        </w:rPr>
        <w:t xml:space="preserve">(Article 90 of Legislative Decree </w:t>
      </w:r>
      <w:r w:rsidR="00B42101">
        <w:rPr>
          <w:lang w:val="en-US"/>
        </w:rPr>
        <w:t>n</w:t>
      </w:r>
      <w:r w:rsidRPr="00F37F4D">
        <w:rPr>
          <w:lang w:val="en-US"/>
        </w:rPr>
        <w:t>o. 123/2025, effective from 1 January 2027)</w:t>
      </w:r>
    </w:p>
    <w:p w14:paraId="3949A45E" w14:textId="77777777" w:rsidR="0037412E" w:rsidRPr="00B42101" w:rsidRDefault="0037412E" w:rsidP="0037412E">
      <w:pPr>
        <w:rPr>
          <w:u w:val="single"/>
          <w:lang w:val="en-US"/>
        </w:rPr>
      </w:pPr>
      <w:r w:rsidRPr="00B42101">
        <w:rPr>
          <w:u w:val="single"/>
          <w:lang w:val="en-US"/>
        </w:rPr>
        <w:t>Current regime: taxation upon distribution / option for upfront taxation limited to inheritance and gift tax</w:t>
      </w:r>
    </w:p>
    <w:p w14:paraId="59337B72" w14:textId="77777777" w:rsidR="0037412E" w:rsidRPr="00F37F4D" w:rsidRDefault="0037412E" w:rsidP="0037412E">
      <w:pPr>
        <w:rPr>
          <w:lang w:val="en-US"/>
        </w:rPr>
      </w:pPr>
      <w:r w:rsidRPr="00F37F4D">
        <w:rPr>
          <w:lang w:val="en-US"/>
        </w:rPr>
        <w:t>General rule: Taxation upon distribution: inheritance and gift tax is levied upon the transfer of trust assets to the beneficiaries.</w:t>
      </w:r>
    </w:p>
    <w:p w14:paraId="2713ACCB" w14:textId="77777777" w:rsidR="0037412E" w:rsidRPr="00F37F4D" w:rsidRDefault="0037412E" w:rsidP="0037412E">
      <w:pPr>
        <w:rPr>
          <w:lang w:val="en-US"/>
        </w:rPr>
      </w:pPr>
      <w:r w:rsidRPr="00F37F4D">
        <w:rPr>
          <w:lang w:val="en-US"/>
        </w:rPr>
        <w:t>Optional regime: Upfront taxation: taxpayers may elect for taxation at the time the assets are transferred into the trust.</w:t>
      </w:r>
    </w:p>
    <w:p w14:paraId="38D89C32" w14:textId="6E3F65ED" w:rsidR="0037412E" w:rsidRPr="00F37F4D" w:rsidRDefault="0037412E" w:rsidP="0037412E">
      <w:pPr>
        <w:rPr>
          <w:lang w:val="en-US"/>
        </w:rPr>
      </w:pPr>
      <w:r w:rsidRPr="00F37F4D">
        <w:rPr>
          <w:lang w:val="en-US"/>
        </w:rPr>
        <w:t xml:space="preserve">Under the current regime, the option for upfront taxation applies exclusively to inheritance and gift tax. Mortgage and cadastral taxes fall outside the scope of such election and, as a general rule, are therefore levied on a proportional basis upon the transfer of real estate from the trust to the beneficiaries (see Italian Revenue Agency, Circular </w:t>
      </w:r>
      <w:r w:rsidR="00B42101">
        <w:rPr>
          <w:lang w:val="en-US"/>
        </w:rPr>
        <w:t>n</w:t>
      </w:r>
      <w:r w:rsidRPr="00F37F4D">
        <w:rPr>
          <w:lang w:val="en-US"/>
        </w:rPr>
        <w:t>o. 34/2022).</w:t>
      </w:r>
    </w:p>
    <w:p w14:paraId="68ED09B2" w14:textId="77777777" w:rsidR="0037412E" w:rsidRPr="00B42101" w:rsidRDefault="0037412E" w:rsidP="0037412E">
      <w:pPr>
        <w:rPr>
          <w:u w:val="single"/>
          <w:lang w:val="en-US"/>
        </w:rPr>
      </w:pPr>
      <w:r w:rsidRPr="00B42101">
        <w:rPr>
          <w:u w:val="single"/>
          <w:lang w:val="en-US"/>
        </w:rPr>
        <w:t>Overview of the current regime</w:t>
      </w:r>
    </w:p>
    <w:p w14:paraId="6899E234" w14:textId="73CE693F" w:rsidR="0037412E" w:rsidRPr="00F37F4D" w:rsidRDefault="0037412E" w:rsidP="0037412E">
      <w:pPr>
        <w:rPr>
          <w:lang w:val="en-US"/>
        </w:rPr>
      </w:pPr>
      <w:r w:rsidRPr="00F37F4D">
        <w:rPr>
          <w:lang w:val="en-US"/>
        </w:rPr>
        <w:t xml:space="preserve">As clarified by the Italian Revenue Agency in Circular </w:t>
      </w:r>
      <w:r w:rsidR="00B42101">
        <w:rPr>
          <w:lang w:val="en-US"/>
        </w:rPr>
        <w:t>n</w:t>
      </w:r>
      <w:r w:rsidRPr="00F37F4D">
        <w:rPr>
          <w:lang w:val="en-US"/>
        </w:rPr>
        <w:t>o. 34/2022:</w:t>
      </w:r>
    </w:p>
    <w:p w14:paraId="7287DE59" w14:textId="77777777" w:rsidR="0037412E" w:rsidRPr="00F37F4D" w:rsidRDefault="0037412E" w:rsidP="0037412E">
      <w:pPr>
        <w:numPr>
          <w:ilvl w:val="0"/>
          <w:numId w:val="15"/>
        </w:numPr>
        <w:rPr>
          <w:lang w:val="en-US"/>
        </w:rPr>
      </w:pPr>
      <w:r w:rsidRPr="00F37F4D">
        <w:rPr>
          <w:lang w:val="en-US"/>
        </w:rPr>
        <w:lastRenderedPageBreak/>
        <w:t>mortgage and cadastral taxes are due in connection with the registration of deeds transferring ownership of real estate and the corresponding cadastral registrations;</w:t>
      </w:r>
    </w:p>
    <w:p w14:paraId="6169E707" w14:textId="77777777" w:rsidR="0037412E" w:rsidRPr="00F37F4D" w:rsidRDefault="0037412E" w:rsidP="0037412E">
      <w:pPr>
        <w:numPr>
          <w:ilvl w:val="0"/>
          <w:numId w:val="15"/>
        </w:numPr>
        <w:rPr>
          <w:lang w:val="en-US"/>
        </w:rPr>
      </w:pPr>
      <w:r w:rsidRPr="00F37F4D">
        <w:rPr>
          <w:lang w:val="en-US"/>
        </w:rPr>
        <w:t>according to the settled case law of the Italian Supreme Court on trusts, transfers of assets into a trust merely serve the purposes of the trust and do not result in an actual transfer of wealth from the settlor to the trustee;</w:t>
      </w:r>
    </w:p>
    <w:p w14:paraId="36D0EA8F" w14:textId="77777777" w:rsidR="0037412E" w:rsidRPr="00F37F4D" w:rsidRDefault="0037412E" w:rsidP="0037412E">
      <w:pPr>
        <w:numPr>
          <w:ilvl w:val="0"/>
          <w:numId w:val="15"/>
        </w:numPr>
        <w:rPr>
          <w:lang w:val="en-US"/>
        </w:rPr>
      </w:pPr>
      <w:r w:rsidRPr="00F37F4D">
        <w:rPr>
          <w:lang w:val="en-US"/>
        </w:rPr>
        <w:t>an effective transfer of wealth through a definitive attribution of assets takes place only when the assets are distributed to the trust beneficiaries;</w:t>
      </w:r>
    </w:p>
    <w:p w14:paraId="07C342D3" w14:textId="77777777" w:rsidR="0037412E" w:rsidRPr="00F37F4D" w:rsidRDefault="0037412E" w:rsidP="0037412E">
      <w:pPr>
        <w:numPr>
          <w:ilvl w:val="0"/>
          <w:numId w:val="15"/>
        </w:numPr>
        <w:rPr>
          <w:lang w:val="en-US"/>
        </w:rPr>
      </w:pPr>
      <w:r w:rsidRPr="00F37F4D">
        <w:rPr>
          <w:lang w:val="en-US"/>
        </w:rPr>
        <w:t>accordingly, the registration and cadastral formalities relating to the transfer of real estate into a trust are subject to fixed mortgage and cadastral taxes of EUR 200 each, rather than proportional taxation (generally 3% or 4%).</w:t>
      </w:r>
    </w:p>
    <w:p w14:paraId="68E74814" w14:textId="77777777" w:rsidR="0037412E" w:rsidRPr="00B42101" w:rsidRDefault="0037412E" w:rsidP="0037412E">
      <w:pPr>
        <w:rPr>
          <w:u w:val="single"/>
          <w:lang w:val="en-US"/>
        </w:rPr>
      </w:pPr>
      <w:r w:rsidRPr="00B42101">
        <w:rPr>
          <w:u w:val="single"/>
          <w:lang w:val="en-US"/>
        </w:rPr>
        <w:t>Key takeaways: the option extended to mortgage and cadastral taxes</w:t>
      </w:r>
    </w:p>
    <w:p w14:paraId="0BC526A6" w14:textId="77777777" w:rsidR="0037412E" w:rsidRPr="00F37F4D" w:rsidRDefault="0037412E" w:rsidP="0037412E">
      <w:pPr>
        <w:rPr>
          <w:lang w:val="en-US"/>
        </w:rPr>
      </w:pPr>
      <w:r w:rsidRPr="00F37F4D">
        <w:rPr>
          <w:lang w:val="en-US"/>
        </w:rPr>
        <w:t>Under the proposed amendments, all the taxes concerned—inheritance and gift tax, mortgage tax and cadastral tax—may be paid upon the transfer of real estate into the trust through a single tax election.</w:t>
      </w:r>
    </w:p>
    <w:p w14:paraId="256859B1" w14:textId="77777777" w:rsidR="0037412E" w:rsidRPr="00F37F4D" w:rsidRDefault="0037412E" w:rsidP="0037412E">
      <w:pPr>
        <w:rPr>
          <w:lang w:val="en-US"/>
        </w:rPr>
      </w:pPr>
      <w:r w:rsidRPr="00F37F4D">
        <w:rPr>
          <w:lang w:val="en-US"/>
        </w:rPr>
        <w:t>This amendment achieves full coordination between the various indirect taxes applicable to real estate transfers involving trusts.</w:t>
      </w:r>
    </w:p>
    <w:p w14:paraId="2F45954C" w14:textId="77777777" w:rsidR="0037412E" w:rsidRPr="00F37F4D" w:rsidRDefault="0037412E" w:rsidP="0037412E">
      <w:pPr>
        <w:rPr>
          <w:lang w:val="en-US"/>
        </w:rPr>
      </w:pPr>
      <w:r w:rsidRPr="00F37F4D">
        <w:rPr>
          <w:lang w:val="en-US"/>
        </w:rPr>
        <w:t>The subsequent transfer of real estate from the trust to the beneficiary will remain subject to mortgage and cadastral taxes (e.g. at the proportional rate of 3%), unless the settlor has elected to pay such proportional taxes upfront upon transferring the assets into the trust.</w:t>
      </w:r>
    </w:p>
    <w:p w14:paraId="1B7D4EB7" w14:textId="77777777" w:rsidR="0037412E" w:rsidRPr="00F37F4D" w:rsidRDefault="0037412E" w:rsidP="0037412E">
      <w:pPr>
        <w:rPr>
          <w:lang w:val="en-US"/>
        </w:rPr>
      </w:pPr>
      <w:r w:rsidRPr="00F37F4D">
        <w:rPr>
          <w:lang w:val="en-US"/>
        </w:rPr>
        <w:t>At present, however, the proposed legislation does not clarify whether the election must necessarily apply to all indirect taxes—namely inheritance and gift tax, mortgage tax and cadastral tax—or whether taxpayers may opt for different timing regimes for each tax. For example, it remains unclear whether it will be possible to apply inheritance and gift tax upon the transfer of real estate into the trust while deferring mortgage and cadastral taxes until the subsequent transfer of the assets from the trust to the beneficiaries.</w:t>
      </w:r>
    </w:p>
    <w:p w14:paraId="3B08BF21" w14:textId="59992144" w:rsidR="0037412E" w:rsidRPr="0037412E" w:rsidRDefault="0037412E" w:rsidP="0037412E">
      <w:pPr>
        <w:rPr>
          <w:lang w:val="en-US"/>
        </w:rPr>
      </w:pPr>
      <w:r w:rsidRPr="00F37F4D">
        <w:rPr>
          <w:lang w:val="en-US"/>
        </w:rPr>
        <w:t>Despite this coordination measure, several issues concerning the application of indirect taxes to the different trust structures remain unresolved.</w:t>
      </w:r>
    </w:p>
    <w:p w14:paraId="5E0EF35B" w14:textId="77777777" w:rsidR="007B77DC" w:rsidRDefault="007B77DC" w:rsidP="007B77DC">
      <w:pPr>
        <w:pStyle w:val="SI-Titolo-1Level1"/>
      </w:pPr>
      <w:bookmarkStart w:id="6" w:name="_Toc244267102"/>
      <w:r>
        <w:t>Town planning</w:t>
      </w:r>
      <w:bookmarkEnd w:id="6"/>
    </w:p>
    <w:p w14:paraId="113EEC28" w14:textId="77777777" w:rsidR="0037412E" w:rsidRDefault="0037412E" w:rsidP="0037412E">
      <w:pPr>
        <w:pStyle w:val="SI-Titolo-11Level2"/>
      </w:pPr>
      <w:bookmarkStart w:id="7" w:name="_Toc244267103"/>
      <w:r>
        <w:t xml:space="preserve">Guido </w:t>
      </w:r>
      <w:r w:rsidRPr="00C12055">
        <w:t>Alberto Inzaghi comments on the new Piano Casa in the Green Street News</w:t>
      </w:r>
      <w:r>
        <w:t xml:space="preserve"> | </w:t>
      </w:r>
      <w:r w:rsidRPr="00890CA4">
        <w:rPr>
          <w:i/>
          <w:iCs/>
        </w:rPr>
        <w:t>11 September 2026</w:t>
      </w:r>
      <w:bookmarkEnd w:id="7"/>
    </w:p>
    <w:p w14:paraId="35F66D55" w14:textId="77777777" w:rsidR="0037412E" w:rsidRDefault="0037412E" w:rsidP="0037412E">
      <w:r>
        <w:t>Our Managing Partner Guido Alberto Inzaghi spoke to Green Street News about the new Piano Casa and the opportunities it may create for the Italian residential market.</w:t>
      </w:r>
    </w:p>
    <w:p w14:paraId="49CD3590" w14:textId="77777777" w:rsidR="0037412E" w:rsidRDefault="0037412E" w:rsidP="0037412E">
      <w:r>
        <w:t>The growing difficulty in accessing housing is no longer confined to major cities such as Milan and Rome but also affects areas with a strong tourism and luxury sector, such as Lake Como, where the shortage of housing for staff risks becoming a tangible constraint on growth.</w:t>
      </w:r>
    </w:p>
    <w:p w14:paraId="608CAD6D" w14:textId="77777777" w:rsidR="0037412E" w:rsidRDefault="0037412E" w:rsidP="0037412E">
      <w:r>
        <w:lastRenderedPageBreak/>
        <w:t>Against this backdrop, the Piano Casa introduces measures aimed at facilitating the mobilization of large-scale private capital. Investments exceeding €1 billion may benefit from significant incentives, including a 35% volumetric bonus, streamlined urban planning procedures and the exclusion of the affordable housing component from the calculation of the maximum permitted floor area.</w:t>
      </w:r>
    </w:p>
    <w:p w14:paraId="0FE61FD1" w14:textId="77777777" w:rsidR="0037412E" w:rsidRDefault="0037412E" w:rsidP="0037412E">
      <w:r>
        <w:t>In return for these benefits, at least 70% of the investment must be allocated to affordable housing subject to an agreement (</w:t>
      </w:r>
      <w:r w:rsidRPr="00890CA4">
        <w:rPr>
          <w:i/>
          <w:iCs/>
        </w:rPr>
        <w:t>edilizia convenzionata</w:t>
      </w:r>
      <w:r>
        <w:t>), with units sold or let at prices at least 33% below market levels and subject to a 30-year restriction.</w:t>
      </w:r>
    </w:p>
    <w:p w14:paraId="0A5F5A03" w14:textId="77777777" w:rsidR="0037412E" w:rsidRDefault="0037412E" w:rsidP="0037412E">
      <w:r>
        <w:t>A new regulatory framework aimed at making affordable housing an integral part of Italy’s development and investment strategies.</w:t>
      </w:r>
    </w:p>
    <w:p w14:paraId="070CEAB4" w14:textId="77777777" w:rsidR="0037412E" w:rsidRDefault="0037412E" w:rsidP="0037412E">
      <w:r>
        <w:t xml:space="preserve">To read the full article click </w:t>
      </w:r>
      <w:hyperlink r:id="rId14" w:history="1">
        <w:r>
          <w:rPr>
            <w:rStyle w:val="Collegamentoipertestuale"/>
          </w:rPr>
          <w:t>here</w:t>
        </w:r>
      </w:hyperlink>
      <w:r>
        <w:t xml:space="preserve">. </w:t>
      </w:r>
    </w:p>
    <w:p w14:paraId="248CB803" w14:textId="23C6EA92" w:rsidR="0037412E" w:rsidRPr="006F4DE5" w:rsidRDefault="0037412E" w:rsidP="0037412E">
      <w:pPr>
        <w:pStyle w:val="SI-Titolo-11Level2"/>
        <w:rPr>
          <w:lang w:val="en-US"/>
        </w:rPr>
      </w:pPr>
      <w:bookmarkStart w:id="8" w:name="_Toc244267104"/>
      <w:r w:rsidRPr="00763285">
        <w:t xml:space="preserve">Municipality of Milan: </w:t>
      </w:r>
      <w:r w:rsidR="00B42101">
        <w:t>n</w:t>
      </w:r>
      <w:r w:rsidRPr="00763285">
        <w:t xml:space="preserve">ew </w:t>
      </w:r>
      <w:r w:rsidR="00B42101">
        <w:t>g</w:t>
      </w:r>
      <w:r w:rsidRPr="00763285">
        <w:t xml:space="preserve">uidelines for the </w:t>
      </w:r>
      <w:r w:rsidR="00B42101">
        <w:t>i</w:t>
      </w:r>
      <w:r w:rsidRPr="00763285">
        <w:t xml:space="preserve">mplementation of </w:t>
      </w:r>
      <w:r w:rsidR="00B42101">
        <w:t>u</w:t>
      </w:r>
      <w:r w:rsidRPr="00763285">
        <w:t xml:space="preserve">rbanisation </w:t>
      </w:r>
      <w:r w:rsidR="00B42101">
        <w:t>w</w:t>
      </w:r>
      <w:r w:rsidRPr="00763285">
        <w:t xml:space="preserve">orks </w:t>
      </w:r>
      <w:r w:rsidR="00B42101">
        <w:t>a</w:t>
      </w:r>
      <w:r w:rsidRPr="00763285">
        <w:t>pproved</w:t>
      </w:r>
      <w:r w:rsidRPr="006F4DE5">
        <w:t xml:space="preserve"> </w:t>
      </w:r>
      <w:r w:rsidR="00B42101">
        <w:t>|</w:t>
      </w:r>
      <w:r>
        <w:t xml:space="preserve"> </w:t>
      </w:r>
      <w:r w:rsidRPr="00763285">
        <w:rPr>
          <w:i/>
          <w:iCs/>
        </w:rPr>
        <w:t>7 September 2026</w:t>
      </w:r>
      <w:bookmarkEnd w:id="8"/>
    </w:p>
    <w:p w14:paraId="20BF487A" w14:textId="77777777" w:rsidR="00B42101" w:rsidRDefault="0037412E" w:rsidP="0037412E">
      <w:pPr>
        <w:rPr>
          <w:lang w:val="en-US"/>
        </w:rPr>
      </w:pPr>
      <w:r w:rsidRPr="00763285">
        <w:rPr>
          <w:lang w:val="en-US"/>
        </w:rPr>
        <w:t xml:space="preserve">By Municipal Executive Board Resolution </w:t>
      </w:r>
      <w:r w:rsidR="00B42101">
        <w:rPr>
          <w:lang w:val="en-US"/>
        </w:rPr>
        <w:t>n</w:t>
      </w:r>
      <w:r w:rsidRPr="00763285">
        <w:rPr>
          <w:lang w:val="en-US"/>
        </w:rPr>
        <w:t>o. 1071 of 6 August 2026, the Municipality of Milan approved the new “Guidelines for the Implementation of Urbanisation Works, Public Services and Facilities and Services and Facilities of Public or General Interest within Urban Planning and Building Procedures”, replacing the previous Guidelines approved by Municipal Executive Board Resolution No. 1117/2013.</w:t>
      </w:r>
    </w:p>
    <w:p w14:paraId="457C0AC7" w14:textId="51D30625" w:rsidR="0037412E" w:rsidRPr="00763285" w:rsidRDefault="0037412E" w:rsidP="0037412E">
      <w:pPr>
        <w:rPr>
          <w:lang w:val="en-US"/>
        </w:rPr>
      </w:pPr>
      <w:r w:rsidRPr="00763285">
        <w:rPr>
          <w:lang w:val="en-US"/>
        </w:rPr>
        <w:t xml:space="preserve">The new Guidelines update the municipal regulatory framework in light of Legislative Decree </w:t>
      </w:r>
      <w:r w:rsidR="00B42101">
        <w:rPr>
          <w:lang w:val="en-US"/>
        </w:rPr>
        <w:t>n</w:t>
      </w:r>
      <w:r w:rsidRPr="00763285">
        <w:rPr>
          <w:lang w:val="en-US"/>
        </w:rPr>
        <w:t>o. 36/2023 (the Public Contracts Code) and the legislative amendments introduced in recent years, with particular reference to the design and implementation of public works within urban planning and building procedures.</w:t>
      </w:r>
    </w:p>
    <w:p w14:paraId="42B65D45" w14:textId="7878EE17" w:rsidR="0037412E" w:rsidRPr="00763285" w:rsidRDefault="0037412E" w:rsidP="0037412E">
      <w:pPr>
        <w:rPr>
          <w:lang w:val="en-US"/>
        </w:rPr>
      </w:pPr>
      <w:r w:rsidRPr="00763285">
        <w:rPr>
          <w:lang w:val="en-US"/>
        </w:rPr>
        <w:t>The new provisions apply to urban planning and building procedures where the relevant agreement, or equivalent instrument, is entered into after the date on which the Resolution was approved. Conversely, the previous 2013 Guidelines continue to apply to works governed by agreements or equivalent instruments already entered into</w:t>
      </w:r>
      <w:r w:rsidR="00B42101">
        <w:rPr>
          <w:lang w:val="en-US"/>
        </w:rPr>
        <w:t xml:space="preserve"> force</w:t>
      </w:r>
      <w:r w:rsidRPr="00763285">
        <w:rPr>
          <w:lang w:val="en-US"/>
        </w:rPr>
        <w:t xml:space="preserve"> as at the effective date of the Resolution.</w:t>
      </w:r>
    </w:p>
    <w:p w14:paraId="6924E5E6" w14:textId="77777777" w:rsidR="0037412E" w:rsidRPr="00E71891" w:rsidRDefault="0037412E" w:rsidP="0037412E">
      <w:pPr>
        <w:rPr>
          <w:lang w:val="en-US"/>
        </w:rPr>
      </w:pPr>
      <w:r w:rsidRPr="00763285">
        <w:rPr>
          <w:lang w:val="en-US"/>
        </w:rPr>
        <w:t xml:space="preserve">For a detailed review of the new framework, please refer to the attached </w:t>
      </w:r>
      <w:hyperlink r:id="rId15" w:history="1">
        <w:r w:rsidRPr="00763285">
          <w:rPr>
            <w:rStyle w:val="Collegamentoipertestuale"/>
            <w:lang w:val="en-US"/>
          </w:rPr>
          <w:t>Resolution and Guidelines</w:t>
        </w:r>
      </w:hyperlink>
      <w:r w:rsidRPr="00763285">
        <w:rPr>
          <w:lang w:val="en-US"/>
        </w:rPr>
        <w:t>.</w:t>
      </w:r>
    </w:p>
    <w:p w14:paraId="5F500D95" w14:textId="1197A16A" w:rsidR="0037412E" w:rsidRPr="0037412E" w:rsidRDefault="0037412E" w:rsidP="0037412E">
      <w:pPr>
        <w:pStyle w:val="SI-Titolo-11Level2"/>
        <w:rPr>
          <w:i/>
          <w:iCs/>
        </w:rPr>
      </w:pPr>
      <w:bookmarkStart w:id="9" w:name="_Toc244267105"/>
      <w:r w:rsidRPr="0037412E">
        <w:t xml:space="preserve">Rome Capital </w:t>
      </w:r>
      <w:r w:rsidR="00B42101">
        <w:t>a</w:t>
      </w:r>
      <w:r w:rsidRPr="0037412E">
        <w:t xml:space="preserve">pproves the </w:t>
      </w:r>
      <w:r w:rsidR="00B42101">
        <w:t>a</w:t>
      </w:r>
      <w:r w:rsidRPr="0037412E">
        <w:t xml:space="preserve">mendment to the </w:t>
      </w:r>
      <w:r w:rsidR="00B42101">
        <w:t>t</w:t>
      </w:r>
      <w:r w:rsidRPr="0037412E">
        <w:t xml:space="preserve">echnical </w:t>
      </w:r>
      <w:r w:rsidR="00B42101">
        <w:t>i</w:t>
      </w:r>
      <w:r w:rsidRPr="0037412E">
        <w:t xml:space="preserve">mplementation </w:t>
      </w:r>
      <w:r w:rsidR="00B42101">
        <w:t>r</w:t>
      </w:r>
      <w:r w:rsidRPr="0037412E">
        <w:t xml:space="preserve">ules of the General Regulatory Plan (PRG) </w:t>
      </w:r>
      <w:r w:rsidR="00B42101">
        <w:t>|</w:t>
      </w:r>
      <w:r w:rsidRPr="0037412E">
        <w:t xml:space="preserve"> </w:t>
      </w:r>
      <w:r w:rsidRPr="0037412E">
        <w:rPr>
          <w:i/>
          <w:iCs/>
        </w:rPr>
        <w:t>10 August 2026</w:t>
      </w:r>
      <w:bookmarkEnd w:id="9"/>
    </w:p>
    <w:p w14:paraId="1D25E8C5" w14:textId="60741528" w:rsidR="0037412E" w:rsidRPr="008F213D" w:rsidRDefault="0037412E" w:rsidP="0037412E">
      <w:pPr>
        <w:rPr>
          <w:lang w:val="en-US"/>
        </w:rPr>
      </w:pPr>
      <w:r w:rsidRPr="008F213D">
        <w:rPr>
          <w:lang w:val="en-US"/>
        </w:rPr>
        <w:t xml:space="preserve">By Resolution </w:t>
      </w:r>
      <w:r w:rsidR="00B42101">
        <w:rPr>
          <w:lang w:val="en-US"/>
        </w:rPr>
        <w:t>n</w:t>
      </w:r>
      <w:r w:rsidRPr="008F213D">
        <w:rPr>
          <w:lang w:val="en-US"/>
        </w:rPr>
        <w:t xml:space="preserve">o. 122 of 23 July 2026, the Capitoline Assembly has given final approval to the partial amendment to the Technical Implementation Rules (NTA) of the General Regulatory Plan (PRG), thereby concluding the procedure initiated with the adoption of Resolution </w:t>
      </w:r>
      <w:r w:rsidR="00B42101">
        <w:rPr>
          <w:lang w:val="en-US"/>
        </w:rPr>
        <w:t>n</w:t>
      </w:r>
      <w:r w:rsidRPr="008F213D">
        <w:rPr>
          <w:lang w:val="en-US"/>
        </w:rPr>
        <w:t>o. 169/2024.</w:t>
      </w:r>
    </w:p>
    <w:p w14:paraId="678404EC" w14:textId="56920438" w:rsidR="00B42101" w:rsidRDefault="0037412E" w:rsidP="0037412E">
      <w:pPr>
        <w:rPr>
          <w:lang w:val="en-US"/>
        </w:rPr>
      </w:pPr>
      <w:r w:rsidRPr="008F213D">
        <w:rPr>
          <w:lang w:val="en-US"/>
        </w:rPr>
        <w:t xml:space="preserve">The Resolution includes the Municipality’s responses to the observations submitted during the consultation process and incorporates the amendments resulting from the observations that </w:t>
      </w:r>
      <w:r w:rsidRPr="008F213D">
        <w:rPr>
          <w:lang w:val="en-US"/>
        </w:rPr>
        <w:lastRenderedPageBreak/>
        <w:t>were fully or partially upheld, as well as from the observations made ex officio by the Municipality.</w:t>
      </w:r>
      <w:r w:rsidRPr="008F213D">
        <w:rPr>
          <w:lang w:val="en-US"/>
        </w:rPr>
        <w:br/>
        <w:t xml:space="preserve">Attached is the consolidated text of the amended provisions, which serves as the operative reference for </w:t>
      </w:r>
      <w:r w:rsidR="00B42101" w:rsidRPr="008F213D">
        <w:rPr>
          <w:lang w:val="en-US"/>
        </w:rPr>
        <w:t>analyzing</w:t>
      </w:r>
      <w:r w:rsidRPr="008F213D">
        <w:rPr>
          <w:lang w:val="en-US"/>
        </w:rPr>
        <w:t xml:space="preserve"> the principal changes introduced by the reform of the Technical Implementation Rules of Rome’s General Regulatory Plan.</w:t>
      </w:r>
    </w:p>
    <w:p w14:paraId="525F86A9" w14:textId="49CA0DE6" w:rsidR="0037412E" w:rsidRDefault="0037412E" w:rsidP="0037412E">
      <w:pPr>
        <w:rPr>
          <w:lang w:val="en-US"/>
        </w:rPr>
      </w:pPr>
      <w:r w:rsidRPr="008F213D">
        <w:rPr>
          <w:lang w:val="en-US"/>
        </w:rPr>
        <w:t xml:space="preserve">To view the provisions as amended following the incorporation of the observations that were fully or partially upheld, as well as the ex officio observations, please click </w:t>
      </w:r>
      <w:hyperlink r:id="rId16" w:history="1">
        <w:r w:rsidRPr="008F213D">
          <w:rPr>
            <w:rStyle w:val="Collegamentoipertestuale"/>
            <w:lang w:val="en-US"/>
          </w:rPr>
          <w:t>here</w:t>
        </w:r>
      </w:hyperlink>
      <w:r w:rsidRPr="008F213D">
        <w:rPr>
          <w:lang w:val="en-US"/>
        </w:rPr>
        <w:t>.</w:t>
      </w:r>
    </w:p>
    <w:p w14:paraId="3A1F8A9A" w14:textId="3F01614F" w:rsidR="0037412E" w:rsidRPr="006F4DE5" w:rsidRDefault="0037412E" w:rsidP="0037412E">
      <w:pPr>
        <w:pStyle w:val="SI-Titolo-11Level2"/>
        <w:rPr>
          <w:lang w:val="en-US"/>
        </w:rPr>
      </w:pPr>
      <w:bookmarkStart w:id="10" w:name="_Toc244267106"/>
      <w:r w:rsidRPr="00B01B21">
        <w:t xml:space="preserve">Partial </w:t>
      </w:r>
      <w:r w:rsidR="00B42101">
        <w:t>a</w:t>
      </w:r>
      <w:r w:rsidRPr="00B01B21">
        <w:t xml:space="preserve">mendment to the Milan PGT – Preliminary </w:t>
      </w:r>
      <w:r w:rsidR="00B42101">
        <w:t>r</w:t>
      </w:r>
      <w:r w:rsidRPr="00B01B21">
        <w:t xml:space="preserve">eport for the SEA </w:t>
      </w:r>
      <w:r w:rsidR="00B42101">
        <w:t>s</w:t>
      </w:r>
      <w:r w:rsidRPr="00B01B21">
        <w:t xml:space="preserve">creening </w:t>
      </w:r>
      <w:r w:rsidR="00B42101">
        <w:t>p</w:t>
      </w:r>
      <w:r w:rsidRPr="00B01B21">
        <w:t xml:space="preserve">rocedure </w:t>
      </w:r>
      <w:r w:rsidR="00B42101">
        <w:t>p</w:t>
      </w:r>
      <w:r w:rsidRPr="00B01B21">
        <w:t>ublished</w:t>
      </w:r>
      <w:r>
        <w:t xml:space="preserve"> | </w:t>
      </w:r>
      <w:r w:rsidRPr="0037412E">
        <w:rPr>
          <w:i/>
          <w:iCs/>
        </w:rPr>
        <w:t>30 July 2026</w:t>
      </w:r>
      <w:bookmarkEnd w:id="10"/>
    </w:p>
    <w:p w14:paraId="6714FEEC" w14:textId="77777777" w:rsidR="0037412E" w:rsidRDefault="0037412E" w:rsidP="0037412E">
      <w:pPr>
        <w:rPr>
          <w:lang w:val="en-US"/>
        </w:rPr>
      </w:pPr>
      <w:r w:rsidRPr="006B1A15">
        <w:rPr>
          <w:lang w:val="en-US"/>
        </w:rPr>
        <w:t xml:space="preserve">The </w:t>
      </w:r>
      <w:r w:rsidRPr="00B01B21">
        <w:rPr>
          <w:lang w:val="en-US"/>
        </w:rPr>
        <w:t>Municipality of Milan has published the notice making the Preliminary Report of the SEA Screening Procedure available for consultation.</w:t>
      </w:r>
    </w:p>
    <w:p w14:paraId="2B84A0CB" w14:textId="77777777" w:rsidR="0037412E" w:rsidRPr="00B01B21" w:rsidRDefault="0037412E" w:rsidP="0037412E">
      <w:pPr>
        <w:rPr>
          <w:lang w:val="en-US"/>
        </w:rPr>
      </w:pPr>
      <w:r w:rsidRPr="00B01B21">
        <w:rPr>
          <w:lang w:val="en-US"/>
        </w:rPr>
        <w:t>According to the notice, the Preliminary Report may be consulted:</w:t>
      </w:r>
    </w:p>
    <w:p w14:paraId="1A19454B" w14:textId="77777777" w:rsidR="0037412E" w:rsidRPr="00B01B21" w:rsidRDefault="0037412E" w:rsidP="0037412E">
      <w:pPr>
        <w:numPr>
          <w:ilvl w:val="0"/>
          <w:numId w:val="22"/>
        </w:numPr>
        <w:rPr>
          <w:lang w:val="en-US"/>
        </w:rPr>
      </w:pPr>
      <w:r w:rsidRPr="00B01B21">
        <w:rPr>
          <w:lang w:val="en-US"/>
        </w:rPr>
        <w:t>on the Lombardy Region’s SIVAS website;</w:t>
      </w:r>
    </w:p>
    <w:p w14:paraId="568414E7" w14:textId="77777777" w:rsidR="0037412E" w:rsidRPr="00B01B21" w:rsidRDefault="0037412E" w:rsidP="0037412E">
      <w:pPr>
        <w:numPr>
          <w:ilvl w:val="0"/>
          <w:numId w:val="22"/>
        </w:numPr>
        <w:rPr>
          <w:lang w:val="en-US"/>
        </w:rPr>
      </w:pPr>
      <w:r w:rsidRPr="00B01B21">
        <w:rPr>
          <w:lang w:val="en-US"/>
        </w:rPr>
        <w:t>on the Municipality of Milan’s website;</w:t>
      </w:r>
    </w:p>
    <w:p w14:paraId="2422C6C6" w14:textId="77777777" w:rsidR="0037412E" w:rsidRPr="00B01B21" w:rsidRDefault="0037412E" w:rsidP="0037412E">
      <w:pPr>
        <w:numPr>
          <w:ilvl w:val="0"/>
          <w:numId w:val="22"/>
        </w:numPr>
        <w:rPr>
          <w:lang w:val="en-US"/>
        </w:rPr>
      </w:pPr>
      <w:r w:rsidRPr="00B01B21">
        <w:rPr>
          <w:lang w:val="en-US"/>
        </w:rPr>
        <w:t>at the Municipality’s offices, by appointment.</w:t>
      </w:r>
    </w:p>
    <w:p w14:paraId="65306023" w14:textId="77777777" w:rsidR="0037412E" w:rsidRPr="00B01B21" w:rsidRDefault="0037412E" w:rsidP="0037412E">
      <w:pPr>
        <w:rPr>
          <w:lang w:val="en-US"/>
        </w:rPr>
      </w:pPr>
      <w:r w:rsidRPr="00B01B21">
        <w:rPr>
          <w:lang w:val="en-US"/>
        </w:rPr>
        <w:t>Written contributions may be submitted until 11 September 2026.</w:t>
      </w:r>
    </w:p>
    <w:p w14:paraId="0BE50020" w14:textId="77777777" w:rsidR="0037412E" w:rsidRPr="00B01B21" w:rsidRDefault="0037412E" w:rsidP="0037412E">
      <w:pPr>
        <w:rPr>
          <w:lang w:val="en-US"/>
        </w:rPr>
      </w:pPr>
      <w:r w:rsidRPr="00B01B21">
        <w:rPr>
          <w:lang w:val="en-US"/>
        </w:rPr>
        <w:t>Reference is made to Chapter 2 of the Preliminary Report for an overview of the proposed amendments, which focus on targeted changes to the Technical Implementation Rules of the Rules Plan (</w:t>
      </w:r>
      <w:r w:rsidRPr="00B42101">
        <w:rPr>
          <w:i/>
          <w:iCs/>
          <w:lang w:val="en-US"/>
        </w:rPr>
        <w:t>Piano delle Regole</w:t>
      </w:r>
      <w:r w:rsidRPr="00B01B21">
        <w:rPr>
          <w:lang w:val="en-US"/>
        </w:rPr>
        <w:t>) and the Services Plan (</w:t>
      </w:r>
      <w:r w:rsidRPr="00B42101">
        <w:rPr>
          <w:i/>
          <w:iCs/>
          <w:lang w:val="en-US"/>
        </w:rPr>
        <w:t>Piano dei Servizi</w:t>
      </w:r>
      <w:r w:rsidRPr="00B01B21">
        <w:rPr>
          <w:lang w:val="en-US"/>
        </w:rPr>
        <w:t>).</w:t>
      </w:r>
    </w:p>
    <w:p w14:paraId="6B428432" w14:textId="7AD442D1" w:rsidR="0037412E" w:rsidRPr="00B01B21" w:rsidRDefault="0037412E" w:rsidP="0037412E">
      <w:pPr>
        <w:rPr>
          <w:lang w:val="en-US"/>
        </w:rPr>
      </w:pPr>
      <w:r w:rsidRPr="00B01B21">
        <w:rPr>
          <w:lang w:val="en-US"/>
        </w:rPr>
        <w:t xml:space="preserve">This follows our previous news regarding the approval, by Executive Board Resolution </w:t>
      </w:r>
      <w:r w:rsidR="00B42101">
        <w:rPr>
          <w:lang w:val="en-US"/>
        </w:rPr>
        <w:t>n</w:t>
      </w:r>
      <w:r w:rsidRPr="00B01B21">
        <w:rPr>
          <w:lang w:val="en-US"/>
        </w:rPr>
        <w:t xml:space="preserve">o. 1358 of 6 November 2025, of the guidelines for the initiation of the partial amendment to the Milan Town Planning Scheme (PGT), together with the commencement of the Strategic Environmental Assessment (SEA) screening procedure that is available here: </w:t>
      </w:r>
      <w:hyperlink r:id="rId17" w:history="1">
        <w:r w:rsidRPr="00B01B21">
          <w:rPr>
            <w:rStyle w:val="Collegamentoipertestuale"/>
            <w:lang w:val="en-US"/>
          </w:rPr>
          <w:t>New Milan PGT – Guidelines Approved for the Launch of the Partial Amendment – SI – Studio Inzaghi</w:t>
        </w:r>
      </w:hyperlink>
    </w:p>
    <w:p w14:paraId="71D65152" w14:textId="77777777" w:rsidR="0037412E" w:rsidRPr="00B01B21" w:rsidRDefault="0037412E" w:rsidP="0037412E">
      <w:pPr>
        <w:rPr>
          <w:lang w:val="it-IT"/>
        </w:rPr>
      </w:pPr>
      <w:r w:rsidRPr="00B01B21">
        <w:rPr>
          <w:lang w:val="it-IT"/>
        </w:rPr>
        <w:t xml:space="preserve">The notice published by the Municipality is available here: </w:t>
      </w:r>
      <w:hyperlink r:id="rId18" w:history="1">
        <w:r w:rsidRPr="00B01B21">
          <w:rPr>
            <w:rStyle w:val="Collegamentoipertestuale"/>
            <w:lang w:val="it-IT"/>
          </w:rPr>
          <w:t>Procedimento di Verifica di assoggettabilità a VAS per la proposta di parziale variante normativa delle Norme di Attuazione del Piano delle Regole e del Piano dei Servizi del vigente PGT. Comunicazione di messa a disposizione del Rapporto Preliminare.</w:t>
        </w:r>
      </w:hyperlink>
    </w:p>
    <w:p w14:paraId="40613298" w14:textId="565F31BF" w:rsidR="0037412E" w:rsidRPr="00271D8D" w:rsidRDefault="0037412E" w:rsidP="0037412E">
      <w:pPr>
        <w:pStyle w:val="SI-Titolo-11Level2"/>
        <w:rPr>
          <w:lang w:val="it-IT"/>
        </w:rPr>
      </w:pPr>
      <w:bookmarkStart w:id="11" w:name="_Toc244267107"/>
      <w:r w:rsidRPr="00271D8D">
        <w:rPr>
          <w:lang w:val="it-IT"/>
        </w:rPr>
        <w:t xml:space="preserve">Rome: </w:t>
      </w:r>
      <w:r w:rsidR="00B42101" w:rsidRPr="00271D8D">
        <w:rPr>
          <w:lang w:val="it-IT"/>
        </w:rPr>
        <w:t>t</w:t>
      </w:r>
      <w:r w:rsidRPr="00271D8D">
        <w:rPr>
          <w:lang w:val="it-IT"/>
        </w:rPr>
        <w:t xml:space="preserve">echnical </w:t>
      </w:r>
      <w:r w:rsidR="00B42101" w:rsidRPr="00271D8D">
        <w:rPr>
          <w:lang w:val="it-IT"/>
        </w:rPr>
        <w:t>i</w:t>
      </w:r>
      <w:r w:rsidRPr="00271D8D">
        <w:rPr>
          <w:lang w:val="it-IT"/>
        </w:rPr>
        <w:t xml:space="preserve">mplementation </w:t>
      </w:r>
      <w:r w:rsidR="00B42101" w:rsidRPr="00271D8D">
        <w:rPr>
          <w:lang w:val="it-IT"/>
        </w:rPr>
        <w:t>r</w:t>
      </w:r>
      <w:r w:rsidRPr="00271D8D">
        <w:rPr>
          <w:lang w:val="it-IT"/>
        </w:rPr>
        <w:t xml:space="preserve">ules of the General Regulatory Plan (PRG) </w:t>
      </w:r>
      <w:r w:rsidR="00B42101" w:rsidRPr="00271D8D">
        <w:rPr>
          <w:lang w:val="it-IT"/>
        </w:rPr>
        <w:t>a</w:t>
      </w:r>
      <w:r w:rsidRPr="00271D8D">
        <w:rPr>
          <w:lang w:val="it-IT"/>
        </w:rPr>
        <w:t xml:space="preserve">pproved </w:t>
      </w:r>
      <w:r w:rsidR="00B42101" w:rsidRPr="00271D8D">
        <w:rPr>
          <w:lang w:val="it-IT"/>
        </w:rPr>
        <w:t>|</w:t>
      </w:r>
      <w:r w:rsidRPr="00271D8D">
        <w:rPr>
          <w:lang w:val="it-IT"/>
        </w:rPr>
        <w:t xml:space="preserve"> </w:t>
      </w:r>
      <w:r w:rsidRPr="00271D8D">
        <w:rPr>
          <w:i/>
          <w:iCs/>
          <w:lang w:val="it-IT"/>
        </w:rPr>
        <w:t>28 July 2026</w:t>
      </w:r>
      <w:bookmarkEnd w:id="11"/>
    </w:p>
    <w:p w14:paraId="6BDED35F" w14:textId="77777777" w:rsidR="0037412E" w:rsidRPr="00A910D4" w:rsidRDefault="0037412E" w:rsidP="0037412E">
      <w:pPr>
        <w:rPr>
          <w:lang w:val="en-US"/>
        </w:rPr>
      </w:pPr>
      <w:r w:rsidRPr="006B1A15">
        <w:rPr>
          <w:lang w:val="en-US"/>
        </w:rPr>
        <w:t xml:space="preserve">The </w:t>
      </w:r>
      <w:r w:rsidRPr="00A910D4">
        <w:rPr>
          <w:lang w:val="en-US"/>
        </w:rPr>
        <w:t>Capitoline Assembly has approved the Technical Implementation Rules (NTA) of the General Regulatory Plan (PRG). The resolution amends 67 provisions of the PRG, marking the first revision of the NTA since their adoption in 2008.</w:t>
      </w:r>
    </w:p>
    <w:p w14:paraId="5E5FE1C4" w14:textId="77777777" w:rsidR="0037412E" w:rsidRPr="00A910D4" w:rsidRDefault="0037412E" w:rsidP="0037412E">
      <w:pPr>
        <w:rPr>
          <w:lang w:val="it-IT"/>
        </w:rPr>
      </w:pPr>
      <w:r w:rsidRPr="00A910D4">
        <w:rPr>
          <w:lang w:val="it-IT"/>
        </w:rPr>
        <w:t>The main changes include:</w:t>
      </w:r>
    </w:p>
    <w:p w14:paraId="1F64F898" w14:textId="77777777" w:rsidR="0037412E" w:rsidRPr="00A910D4" w:rsidRDefault="0037412E" w:rsidP="0037412E">
      <w:pPr>
        <w:numPr>
          <w:ilvl w:val="0"/>
          <w:numId w:val="21"/>
        </w:numPr>
        <w:rPr>
          <w:lang w:val="en-US"/>
        </w:rPr>
      </w:pPr>
      <w:r w:rsidRPr="00A910D4">
        <w:rPr>
          <w:lang w:val="en-US"/>
        </w:rPr>
        <w:lastRenderedPageBreak/>
        <w:t>Simplification of planning procedures, with the aim of reducing the time required for the approval and implementation of development projects.</w:t>
      </w:r>
    </w:p>
    <w:p w14:paraId="7FA19144" w14:textId="77777777" w:rsidR="0037412E" w:rsidRPr="00A910D4" w:rsidRDefault="0037412E" w:rsidP="0037412E">
      <w:pPr>
        <w:numPr>
          <w:ilvl w:val="0"/>
          <w:numId w:val="21"/>
        </w:numPr>
        <w:rPr>
          <w:lang w:val="en-US"/>
        </w:rPr>
      </w:pPr>
      <w:r w:rsidRPr="00A910D4">
        <w:rPr>
          <w:lang w:val="en-US"/>
        </w:rPr>
        <w:t>Urban regeneration and the redevelopment of peripheral areas, with a focus on the regeneration of the existing building stock while limiting greenfield development.</w:t>
      </w:r>
    </w:p>
    <w:p w14:paraId="744EEACA" w14:textId="77777777" w:rsidR="0037412E" w:rsidRPr="00A910D4" w:rsidRDefault="0037412E" w:rsidP="0037412E">
      <w:pPr>
        <w:numPr>
          <w:ilvl w:val="0"/>
          <w:numId w:val="21"/>
        </w:numPr>
        <w:rPr>
          <w:lang w:val="en-US"/>
        </w:rPr>
      </w:pPr>
      <w:r w:rsidRPr="00A910D4">
        <w:rPr>
          <w:lang w:val="en-US"/>
        </w:rPr>
        <w:t>Enhanced protection of the historical, architectural and environmental heritage, through the strengthening of the applicable safeguarding provisions.</w:t>
      </w:r>
    </w:p>
    <w:p w14:paraId="129248C9" w14:textId="77777777" w:rsidR="0037412E" w:rsidRPr="00A910D4" w:rsidRDefault="0037412E" w:rsidP="0037412E">
      <w:pPr>
        <w:numPr>
          <w:ilvl w:val="0"/>
          <w:numId w:val="21"/>
        </w:numPr>
        <w:rPr>
          <w:lang w:val="en-US"/>
        </w:rPr>
      </w:pPr>
      <w:r w:rsidRPr="00A910D4">
        <w:rPr>
          <w:lang w:val="en-US"/>
        </w:rPr>
        <w:t>Promotion of sustainable mobility, with greater emphasis on the development of rail-based public transport.</w:t>
      </w:r>
    </w:p>
    <w:p w14:paraId="10FF152C" w14:textId="77777777" w:rsidR="0037412E" w:rsidRPr="00A910D4" w:rsidRDefault="0037412E" w:rsidP="0037412E">
      <w:pPr>
        <w:numPr>
          <w:ilvl w:val="0"/>
          <w:numId w:val="21"/>
        </w:numPr>
        <w:rPr>
          <w:lang w:val="en-US"/>
        </w:rPr>
      </w:pPr>
      <w:r w:rsidRPr="00A910D4">
        <w:rPr>
          <w:lang w:val="en-US"/>
        </w:rPr>
        <w:t>Protection of the residential function, through measures aimed at mitigating the impact of overtourism on the urban fabric.</w:t>
      </w:r>
    </w:p>
    <w:p w14:paraId="24DBFDC5" w14:textId="77777777" w:rsidR="0037412E" w:rsidRPr="00A910D4" w:rsidRDefault="0037412E" w:rsidP="0037412E">
      <w:pPr>
        <w:numPr>
          <w:ilvl w:val="0"/>
          <w:numId w:val="21"/>
        </w:numPr>
        <w:rPr>
          <w:lang w:val="en-US"/>
        </w:rPr>
      </w:pPr>
      <w:r w:rsidRPr="00A910D4">
        <w:rPr>
          <w:lang w:val="en-US"/>
        </w:rPr>
        <w:t>Protection of the Agro Romano, by strengthening the safeguards applicable to agricultural areas and landscapes of particular value.</w:t>
      </w:r>
    </w:p>
    <w:p w14:paraId="26A33EAB" w14:textId="77777777" w:rsidR="0037412E" w:rsidRPr="00926FFB" w:rsidRDefault="0037412E" w:rsidP="0037412E">
      <w:pPr>
        <w:rPr>
          <w:lang w:val="en-US"/>
        </w:rPr>
      </w:pPr>
      <w:r w:rsidRPr="00A910D4">
        <w:rPr>
          <w:lang w:val="en-US"/>
        </w:rPr>
        <w:t>The amendments represent a significant update to Rome’s urban planning framework and are intended to enhance the effectiveness of the City’s planning instruments by balancing administrative simplification, territorial protection and sustainable development.</w:t>
      </w:r>
    </w:p>
    <w:p w14:paraId="13DC5541" w14:textId="492663CF" w:rsidR="0037412E" w:rsidRPr="006F4DE5" w:rsidRDefault="0037412E" w:rsidP="0037412E">
      <w:pPr>
        <w:pStyle w:val="SI-Titolo-11Level2"/>
        <w:rPr>
          <w:lang w:val="en-US"/>
        </w:rPr>
      </w:pPr>
      <w:bookmarkStart w:id="12" w:name="_Toc244267108"/>
      <w:r w:rsidRPr="00A21403">
        <w:t xml:space="preserve">Municipality of Milan </w:t>
      </w:r>
      <w:r w:rsidR="005E6D84">
        <w:t>u</w:t>
      </w:r>
      <w:r w:rsidRPr="00A21403">
        <w:t xml:space="preserve">pdates the </w:t>
      </w:r>
      <w:r w:rsidR="005E6D84">
        <w:t>g</w:t>
      </w:r>
      <w:r w:rsidRPr="00A21403">
        <w:t xml:space="preserve">uidelines for the </w:t>
      </w:r>
      <w:r w:rsidR="005E6D84">
        <w:t>a</w:t>
      </w:r>
      <w:r w:rsidRPr="00A21403">
        <w:t xml:space="preserve">ssessment of </w:t>
      </w:r>
      <w:r w:rsidR="005E6D84">
        <w:t>p</w:t>
      </w:r>
      <w:r w:rsidRPr="00A21403">
        <w:t xml:space="preserve">roposals for </w:t>
      </w:r>
      <w:r w:rsidR="005E6D84">
        <w:t>n</w:t>
      </w:r>
      <w:r w:rsidRPr="00A21403">
        <w:t xml:space="preserve">ew </w:t>
      </w:r>
      <w:r w:rsidR="005E6D84">
        <w:t>p</w:t>
      </w:r>
      <w:r w:rsidRPr="00A21403">
        <w:t>rivately-</w:t>
      </w:r>
      <w:r w:rsidR="005E6D84">
        <w:t>o</w:t>
      </w:r>
      <w:r w:rsidRPr="00A21403">
        <w:t xml:space="preserve">wned </w:t>
      </w:r>
      <w:r w:rsidR="005E6D84">
        <w:t>s</w:t>
      </w:r>
      <w:r w:rsidRPr="00A21403">
        <w:t xml:space="preserve">ervices of </w:t>
      </w:r>
      <w:r w:rsidR="005E6D84">
        <w:t>p</w:t>
      </w:r>
      <w:r w:rsidRPr="00A21403">
        <w:t xml:space="preserve">ublic or </w:t>
      </w:r>
      <w:r w:rsidR="005E6D84">
        <w:t>g</w:t>
      </w:r>
      <w:r w:rsidRPr="00A21403">
        <w:t xml:space="preserve">eneral </w:t>
      </w:r>
      <w:r w:rsidR="005E6D84">
        <w:t>i</w:t>
      </w:r>
      <w:r w:rsidRPr="00A21403">
        <w:t>nterest (SPIG)</w:t>
      </w:r>
      <w:r>
        <w:t xml:space="preserve"> </w:t>
      </w:r>
      <w:r w:rsidR="00B42101">
        <w:t>|</w:t>
      </w:r>
      <w:r>
        <w:t xml:space="preserve"> </w:t>
      </w:r>
      <w:r w:rsidRPr="00A21403">
        <w:rPr>
          <w:i/>
          <w:iCs/>
        </w:rPr>
        <w:t>20 July 2026</w:t>
      </w:r>
      <w:bookmarkEnd w:id="12"/>
    </w:p>
    <w:p w14:paraId="06BF53F7" w14:textId="112B72DD" w:rsidR="0037412E" w:rsidRPr="00147843" w:rsidRDefault="0037412E" w:rsidP="0037412E">
      <w:pPr>
        <w:rPr>
          <w:lang w:val="en-US"/>
        </w:rPr>
      </w:pPr>
      <w:r w:rsidRPr="00147843">
        <w:rPr>
          <w:lang w:val="en-US"/>
        </w:rPr>
        <w:t xml:space="preserve">By Executive Board Resolution </w:t>
      </w:r>
      <w:r w:rsidR="005E6D84">
        <w:rPr>
          <w:lang w:val="en-US"/>
        </w:rPr>
        <w:t>n</w:t>
      </w:r>
      <w:r w:rsidRPr="00147843">
        <w:rPr>
          <w:lang w:val="en-US"/>
        </w:rPr>
        <w:t>o. 932 of 9 July 2026, the Municipality of Milan has updated the guidelines previously approved under Executive Board Resolution No. 288 of 10 March 2023 concerning the methodology and procedure for assessing proposals for the development of new privately-owned services and facilities for public use or of public or general interest (so-called SPIG), pursuant to Article 4 of the Technical Implementation Rules of the Services Plan (</w:t>
      </w:r>
      <w:r w:rsidRPr="00654D70">
        <w:rPr>
          <w:i/>
          <w:iCs/>
          <w:lang w:val="en-US"/>
        </w:rPr>
        <w:t>Piano dei Servizi</w:t>
      </w:r>
      <w:r w:rsidRPr="00147843">
        <w:rPr>
          <w:lang w:val="en-US"/>
        </w:rPr>
        <w:t>) forming part of the Milan PGT.</w:t>
      </w:r>
    </w:p>
    <w:p w14:paraId="7504EACB" w14:textId="507027CE" w:rsidR="0037412E" w:rsidRPr="005E6D84" w:rsidRDefault="0037412E" w:rsidP="0037412E">
      <w:pPr>
        <w:rPr>
          <w:u w:val="single"/>
          <w:lang w:val="en-US"/>
        </w:rPr>
      </w:pPr>
      <w:r w:rsidRPr="005E6D84">
        <w:rPr>
          <w:u w:val="single"/>
          <w:lang w:val="en-US"/>
        </w:rPr>
        <w:t xml:space="preserve">Services </w:t>
      </w:r>
      <w:r w:rsidR="005E6D84" w:rsidRPr="005E6D84">
        <w:rPr>
          <w:u w:val="single"/>
          <w:lang w:val="en-US"/>
        </w:rPr>
        <w:t>a</w:t>
      </w:r>
      <w:r w:rsidRPr="005E6D84">
        <w:rPr>
          <w:u w:val="single"/>
          <w:lang w:val="en-US"/>
        </w:rPr>
        <w:t xml:space="preserve">lready </w:t>
      </w:r>
      <w:r w:rsidR="005E6D84" w:rsidRPr="005E6D84">
        <w:rPr>
          <w:u w:val="single"/>
          <w:lang w:val="en-US"/>
        </w:rPr>
        <w:t>a</w:t>
      </w:r>
      <w:r w:rsidRPr="005E6D84">
        <w:rPr>
          <w:u w:val="single"/>
          <w:lang w:val="en-US"/>
        </w:rPr>
        <w:t xml:space="preserve">ccredited or </w:t>
      </w:r>
      <w:r w:rsidR="005E6D84" w:rsidRPr="005E6D84">
        <w:rPr>
          <w:u w:val="single"/>
          <w:lang w:val="en-US"/>
        </w:rPr>
        <w:t>s</w:t>
      </w:r>
      <w:r w:rsidRPr="005E6D84">
        <w:rPr>
          <w:u w:val="single"/>
          <w:lang w:val="en-US"/>
        </w:rPr>
        <w:t xml:space="preserve">ubject to </w:t>
      </w:r>
      <w:r w:rsidR="005E6D84" w:rsidRPr="005E6D84">
        <w:rPr>
          <w:u w:val="single"/>
          <w:lang w:val="en-US"/>
        </w:rPr>
        <w:t>a</w:t>
      </w:r>
      <w:r w:rsidRPr="005E6D84">
        <w:rPr>
          <w:u w:val="single"/>
          <w:lang w:val="en-US"/>
        </w:rPr>
        <w:t xml:space="preserve">greements with </w:t>
      </w:r>
      <w:r w:rsidR="005E6D84" w:rsidRPr="005E6D84">
        <w:rPr>
          <w:u w:val="single"/>
          <w:lang w:val="en-US"/>
        </w:rPr>
        <w:t>o</w:t>
      </w:r>
      <w:r w:rsidRPr="005E6D84">
        <w:rPr>
          <w:u w:val="single"/>
          <w:lang w:val="en-US"/>
        </w:rPr>
        <w:t xml:space="preserve">ther </w:t>
      </w:r>
      <w:r w:rsidR="005E6D84" w:rsidRPr="005E6D84">
        <w:rPr>
          <w:u w:val="single"/>
          <w:lang w:val="en-US"/>
        </w:rPr>
        <w:t>p</w:t>
      </w:r>
      <w:r w:rsidRPr="005E6D84">
        <w:rPr>
          <w:u w:val="single"/>
          <w:lang w:val="en-US"/>
        </w:rPr>
        <w:t xml:space="preserve">ublic </w:t>
      </w:r>
      <w:r w:rsidR="005E6D84" w:rsidRPr="005E6D84">
        <w:rPr>
          <w:u w:val="single"/>
          <w:lang w:val="en-US"/>
        </w:rPr>
        <w:t>a</w:t>
      </w:r>
      <w:r w:rsidRPr="005E6D84">
        <w:rPr>
          <w:u w:val="single"/>
          <w:lang w:val="en-US"/>
        </w:rPr>
        <w:t>uthorities</w:t>
      </w:r>
    </w:p>
    <w:p w14:paraId="58B05333" w14:textId="0953CDE9" w:rsidR="0037412E" w:rsidRPr="00147843" w:rsidRDefault="0037412E" w:rsidP="0037412E">
      <w:pPr>
        <w:rPr>
          <w:lang w:val="en-US"/>
        </w:rPr>
      </w:pPr>
      <w:r w:rsidRPr="00147843">
        <w:rPr>
          <w:lang w:val="en-US"/>
        </w:rPr>
        <w:t xml:space="preserve">The practical application of Resolution </w:t>
      </w:r>
      <w:r w:rsidR="005E6D84">
        <w:rPr>
          <w:lang w:val="en-US"/>
        </w:rPr>
        <w:t>n</w:t>
      </w:r>
      <w:r w:rsidRPr="00147843">
        <w:rPr>
          <w:lang w:val="en-US"/>
        </w:rPr>
        <w:t xml:space="preserve">o. 288/2023 highlighted the need to clarify the rules applicable to services that had already obtained accreditation or entered into agreements with public authorities other than the Municipality of Milan. Furthermore, Judgment </w:t>
      </w:r>
      <w:r w:rsidR="005E6D84">
        <w:rPr>
          <w:lang w:val="en-US"/>
        </w:rPr>
        <w:t>n</w:t>
      </w:r>
      <w:r w:rsidRPr="00147843">
        <w:rPr>
          <w:lang w:val="en-US"/>
        </w:rPr>
        <w:t>o. 1456/2026 of the TAR Lombardy (27 March 2026) confirmed that no additional agreement may be required where a service has already been accredited by another competent public authority, in accordance with the principle of subsidiarity.</w:t>
      </w:r>
    </w:p>
    <w:p w14:paraId="7F74A344" w14:textId="2FD19F20" w:rsidR="0037412E" w:rsidRPr="00147843" w:rsidRDefault="0037412E" w:rsidP="0037412E">
      <w:pPr>
        <w:rPr>
          <w:lang w:val="en-US"/>
        </w:rPr>
      </w:pPr>
      <w:r w:rsidRPr="00147843">
        <w:rPr>
          <w:lang w:val="en-US"/>
        </w:rPr>
        <w:t xml:space="preserve">In response, Resolution </w:t>
      </w:r>
      <w:r w:rsidR="005E6D84">
        <w:rPr>
          <w:lang w:val="en-US"/>
        </w:rPr>
        <w:t>n</w:t>
      </w:r>
      <w:r w:rsidRPr="00147843">
        <w:rPr>
          <w:lang w:val="en-US"/>
        </w:rPr>
        <w:t>o. 932/2026 provides that, for such services:</w:t>
      </w:r>
    </w:p>
    <w:p w14:paraId="38A85C71" w14:textId="77777777" w:rsidR="0037412E" w:rsidRPr="00147843" w:rsidRDefault="0037412E" w:rsidP="00B42101">
      <w:pPr>
        <w:numPr>
          <w:ilvl w:val="0"/>
          <w:numId w:val="18"/>
        </w:numPr>
        <w:rPr>
          <w:lang w:val="en-US"/>
        </w:rPr>
      </w:pPr>
      <w:r w:rsidRPr="00147843">
        <w:rPr>
          <w:lang w:val="en-US"/>
        </w:rPr>
        <w:t>the assessment criteria set out in Article 4, paragraph 2 of the Technical Implementation Rules of the Services Plan do not apply;</w:t>
      </w:r>
    </w:p>
    <w:p w14:paraId="2DEF34E4" w14:textId="77777777" w:rsidR="0037412E" w:rsidRPr="00147843" w:rsidRDefault="0037412E" w:rsidP="0037412E">
      <w:pPr>
        <w:numPr>
          <w:ilvl w:val="0"/>
          <w:numId w:val="18"/>
        </w:numPr>
        <w:rPr>
          <w:lang w:val="en-US"/>
        </w:rPr>
      </w:pPr>
      <w:r w:rsidRPr="00147843">
        <w:rPr>
          <w:lang w:val="en-US"/>
        </w:rPr>
        <w:lastRenderedPageBreak/>
        <w:t>upon request by the Municipality, the accrediting authority shall certify that the service complies with the conditions of its accreditation or agreement and shall assess the public interest nature of the services provided;</w:t>
      </w:r>
    </w:p>
    <w:p w14:paraId="4CCCE080" w14:textId="77777777" w:rsidR="0037412E" w:rsidRPr="00147843" w:rsidRDefault="0037412E" w:rsidP="0037412E">
      <w:pPr>
        <w:numPr>
          <w:ilvl w:val="0"/>
          <w:numId w:val="18"/>
        </w:numPr>
        <w:rPr>
          <w:lang w:val="en-US"/>
        </w:rPr>
      </w:pPr>
      <w:r w:rsidRPr="00147843">
        <w:rPr>
          <w:lang w:val="en-US"/>
        </w:rPr>
        <w:t>the economic balancing assessment referred to in Article 4, paragraph, lett. d) is not required;</w:t>
      </w:r>
    </w:p>
    <w:p w14:paraId="6ACD67E3" w14:textId="77777777" w:rsidR="0037412E" w:rsidRPr="00147843" w:rsidRDefault="0037412E" w:rsidP="0037412E">
      <w:pPr>
        <w:numPr>
          <w:ilvl w:val="0"/>
          <w:numId w:val="18"/>
        </w:numPr>
        <w:rPr>
          <w:lang w:val="en-US"/>
        </w:rPr>
      </w:pPr>
      <w:r w:rsidRPr="00147843">
        <w:rPr>
          <w:lang w:val="en-US"/>
        </w:rPr>
        <w:t>the approval of the Municipal Executive Board remains mandatory in order to confirm the public interest of the service in light of its location and the proposed development.</w:t>
      </w:r>
    </w:p>
    <w:p w14:paraId="6517640D" w14:textId="77777777" w:rsidR="0037412E" w:rsidRPr="005E6D84" w:rsidRDefault="0037412E" w:rsidP="0037412E">
      <w:pPr>
        <w:rPr>
          <w:u w:val="single"/>
          <w:lang w:val="en-US"/>
        </w:rPr>
      </w:pPr>
      <w:r w:rsidRPr="005E6D84">
        <w:rPr>
          <w:u w:val="single"/>
          <w:lang w:val="en-US"/>
        </w:rPr>
        <w:t>The Financial and Economic Plan (PEF)</w:t>
      </w:r>
    </w:p>
    <w:p w14:paraId="4D6638D7" w14:textId="77777777" w:rsidR="0037412E" w:rsidRPr="00147843" w:rsidRDefault="0037412E" w:rsidP="0037412E">
      <w:pPr>
        <w:rPr>
          <w:lang w:val="en-US"/>
        </w:rPr>
      </w:pPr>
      <w:r w:rsidRPr="00147843">
        <w:rPr>
          <w:lang w:val="en-US"/>
        </w:rPr>
        <w:t>The obligation to submit a Financial and Economic Plan (PEF) arises where the entity developing the service is different from the entity that will operate it. This applies both to services accredited or subject to agreements with other public authorities and to services awarded through public tender procedures relating to municipal land, where the developer transferring or leasing the service is not the future operator.</w:t>
      </w:r>
    </w:p>
    <w:p w14:paraId="659F5C15" w14:textId="77777777" w:rsidR="0037412E" w:rsidRPr="00147843" w:rsidRDefault="0037412E" w:rsidP="0037412E">
      <w:pPr>
        <w:rPr>
          <w:lang w:val="en-US"/>
        </w:rPr>
      </w:pPr>
      <w:r w:rsidRPr="00147843">
        <w:rPr>
          <w:lang w:val="en-US"/>
        </w:rPr>
        <w:t>In such cases, the PEF must:</w:t>
      </w:r>
    </w:p>
    <w:p w14:paraId="2D9C7283" w14:textId="77777777" w:rsidR="0037412E" w:rsidRPr="00147843" w:rsidRDefault="0037412E" w:rsidP="0037412E">
      <w:pPr>
        <w:numPr>
          <w:ilvl w:val="0"/>
          <w:numId w:val="19"/>
        </w:numPr>
        <w:rPr>
          <w:lang w:val="en-US"/>
        </w:rPr>
      </w:pPr>
      <w:r w:rsidRPr="00147843">
        <w:rPr>
          <w:lang w:val="en-US"/>
        </w:rPr>
        <w:t>demonstrate the economic sustainability of the transaction associated with the proposed location of the service;</w:t>
      </w:r>
    </w:p>
    <w:p w14:paraId="65E1E01B" w14:textId="77777777" w:rsidR="0037412E" w:rsidRPr="00147843" w:rsidRDefault="0037412E" w:rsidP="0037412E">
      <w:pPr>
        <w:numPr>
          <w:ilvl w:val="0"/>
          <w:numId w:val="19"/>
        </w:numPr>
        <w:rPr>
          <w:lang w:val="en-US"/>
        </w:rPr>
      </w:pPr>
      <w:r w:rsidRPr="00147843">
        <w:rPr>
          <w:lang w:val="en-US"/>
        </w:rPr>
        <w:t>demonstrate that the lease payment or transfer price payable by the operator covers the direct construction costs while ensuring a fair return on the invested capital;</w:t>
      </w:r>
    </w:p>
    <w:p w14:paraId="255F67D1" w14:textId="77777777" w:rsidR="0037412E" w:rsidRPr="00147843" w:rsidRDefault="0037412E" w:rsidP="0037412E">
      <w:pPr>
        <w:numPr>
          <w:ilvl w:val="0"/>
          <w:numId w:val="19"/>
        </w:numPr>
        <w:rPr>
          <w:lang w:val="en-US"/>
        </w:rPr>
      </w:pPr>
      <w:r w:rsidRPr="00147843">
        <w:rPr>
          <w:lang w:val="en-US"/>
        </w:rPr>
        <w:t>include profitability indicators consistent with the predominantly public-interest and social nature of the service.</w:t>
      </w:r>
    </w:p>
    <w:p w14:paraId="581E8801" w14:textId="4DD94D4A" w:rsidR="0037412E" w:rsidRPr="00B42101" w:rsidRDefault="0037412E" w:rsidP="0037412E">
      <w:pPr>
        <w:rPr>
          <w:u w:val="single"/>
          <w:lang w:val="en-US"/>
        </w:rPr>
      </w:pPr>
      <w:r w:rsidRPr="00B42101">
        <w:rPr>
          <w:u w:val="single"/>
          <w:lang w:val="en-US"/>
        </w:rPr>
        <w:t xml:space="preserve">Cases in </w:t>
      </w:r>
      <w:r w:rsidR="00B42101" w:rsidRPr="00B42101">
        <w:rPr>
          <w:u w:val="single"/>
          <w:lang w:val="en-US"/>
        </w:rPr>
        <w:t>w</w:t>
      </w:r>
      <w:r w:rsidRPr="00B42101">
        <w:rPr>
          <w:u w:val="single"/>
          <w:lang w:val="en-US"/>
        </w:rPr>
        <w:t xml:space="preserve">hich the </w:t>
      </w:r>
      <w:r w:rsidR="00B42101" w:rsidRPr="00B42101">
        <w:rPr>
          <w:u w:val="single"/>
          <w:lang w:val="en-US"/>
        </w:rPr>
        <w:t>e</w:t>
      </w:r>
      <w:r w:rsidRPr="00B42101">
        <w:rPr>
          <w:u w:val="single"/>
          <w:lang w:val="en-US"/>
        </w:rPr>
        <w:t xml:space="preserve">conomic </w:t>
      </w:r>
      <w:r w:rsidR="00B42101" w:rsidRPr="00B42101">
        <w:rPr>
          <w:u w:val="single"/>
          <w:lang w:val="en-US"/>
        </w:rPr>
        <w:t>b</w:t>
      </w:r>
      <w:r w:rsidRPr="00B42101">
        <w:rPr>
          <w:u w:val="single"/>
          <w:lang w:val="en-US"/>
        </w:rPr>
        <w:t xml:space="preserve">alancing </w:t>
      </w:r>
      <w:r w:rsidR="00B42101" w:rsidRPr="00B42101">
        <w:rPr>
          <w:u w:val="single"/>
          <w:lang w:val="en-US"/>
        </w:rPr>
        <w:t>a</w:t>
      </w:r>
      <w:r w:rsidRPr="00B42101">
        <w:rPr>
          <w:u w:val="single"/>
          <w:lang w:val="en-US"/>
        </w:rPr>
        <w:t xml:space="preserve">ssessment </w:t>
      </w:r>
      <w:r w:rsidR="00B42101" w:rsidRPr="00B42101">
        <w:rPr>
          <w:u w:val="single"/>
          <w:lang w:val="en-US"/>
        </w:rPr>
        <w:t>d</w:t>
      </w:r>
      <w:r w:rsidRPr="00B42101">
        <w:rPr>
          <w:u w:val="single"/>
          <w:lang w:val="en-US"/>
        </w:rPr>
        <w:t xml:space="preserve">oes </w:t>
      </w:r>
      <w:r w:rsidR="00B42101" w:rsidRPr="00B42101">
        <w:rPr>
          <w:u w:val="single"/>
          <w:lang w:val="en-US"/>
        </w:rPr>
        <w:t>n</w:t>
      </w:r>
      <w:r w:rsidRPr="00B42101">
        <w:rPr>
          <w:u w:val="single"/>
          <w:lang w:val="en-US"/>
        </w:rPr>
        <w:t xml:space="preserve">ot </w:t>
      </w:r>
      <w:r w:rsidR="00B42101" w:rsidRPr="00B42101">
        <w:rPr>
          <w:u w:val="single"/>
          <w:lang w:val="en-US"/>
        </w:rPr>
        <w:t>a</w:t>
      </w:r>
      <w:r w:rsidRPr="00B42101">
        <w:rPr>
          <w:u w:val="single"/>
          <w:lang w:val="en-US"/>
        </w:rPr>
        <w:t>pply</w:t>
      </w:r>
    </w:p>
    <w:p w14:paraId="2654685B" w14:textId="7DADF285" w:rsidR="0037412E" w:rsidRPr="00147843" w:rsidRDefault="0037412E" w:rsidP="0037412E">
      <w:pPr>
        <w:rPr>
          <w:lang w:val="en-US"/>
        </w:rPr>
      </w:pPr>
      <w:r w:rsidRPr="00147843">
        <w:rPr>
          <w:lang w:val="en-US"/>
        </w:rPr>
        <w:t xml:space="preserve">Resolution </w:t>
      </w:r>
      <w:r w:rsidR="005E6D84">
        <w:rPr>
          <w:lang w:val="en-US"/>
        </w:rPr>
        <w:t>n</w:t>
      </w:r>
      <w:r w:rsidRPr="00147843">
        <w:rPr>
          <w:lang w:val="en-US"/>
        </w:rPr>
        <w:t>o. 932/2026 identifies the following circumstances in which the economic balancing assessment between public and private benefits under Article 4, paragraph, lett. d) of the Technical Implementation Rules of the Services Plan does not apply:</w:t>
      </w:r>
    </w:p>
    <w:p w14:paraId="0F34244F" w14:textId="47BA8680" w:rsidR="0037412E" w:rsidRPr="00147843" w:rsidRDefault="0037412E" w:rsidP="0037412E">
      <w:pPr>
        <w:numPr>
          <w:ilvl w:val="0"/>
          <w:numId w:val="20"/>
        </w:numPr>
        <w:rPr>
          <w:lang w:val="en-US"/>
        </w:rPr>
      </w:pPr>
      <w:r w:rsidRPr="00147843">
        <w:rPr>
          <w:lang w:val="en-US"/>
        </w:rPr>
        <w:t>Services subject to municipal tariffs</w:t>
      </w:r>
      <w:r w:rsidR="005E6D84">
        <w:rPr>
          <w:lang w:val="en-US"/>
        </w:rPr>
        <w:t xml:space="preserve"> w</w:t>
      </w:r>
      <w:r w:rsidRPr="00147843">
        <w:rPr>
          <w:lang w:val="en-US"/>
        </w:rPr>
        <w:t>here the service is provided by a private operator under municipal tariffs and/or tariffs applied by municipal companies or external entities providing services entrusted by the Municipality. In such cases, only the opinion of the competent municipal department is required, subject to the Executive Board’s approval of the proposed location.</w:t>
      </w:r>
    </w:p>
    <w:p w14:paraId="5E61957B" w14:textId="79E60009" w:rsidR="0037412E" w:rsidRPr="00147843" w:rsidRDefault="0037412E" w:rsidP="0037412E">
      <w:pPr>
        <w:numPr>
          <w:ilvl w:val="0"/>
          <w:numId w:val="20"/>
        </w:numPr>
        <w:rPr>
          <w:lang w:val="en-US"/>
        </w:rPr>
      </w:pPr>
      <w:r w:rsidRPr="00147843">
        <w:rPr>
          <w:lang w:val="en-US"/>
        </w:rPr>
        <w:t>Services included in public tender procedures</w:t>
      </w:r>
      <w:r w:rsidR="005E6D84">
        <w:rPr>
          <w:lang w:val="en-US"/>
        </w:rPr>
        <w:t xml:space="preserve"> w</w:t>
      </w:r>
      <w:r w:rsidRPr="00147843">
        <w:rPr>
          <w:lang w:val="en-US"/>
        </w:rPr>
        <w:t>here the characteristics of the SPIG are already defined in the tender documentation relating to the disposal, concession or grant of surface rights over municipal land or assets. In such cases, the economic balancing assessment does not apply, although a PEF remains mandatory where the developer and the operator are different entities.</w:t>
      </w:r>
    </w:p>
    <w:p w14:paraId="60B08505" w14:textId="4930CFD9" w:rsidR="0037412E" w:rsidRPr="00147843" w:rsidRDefault="0037412E" w:rsidP="0037412E">
      <w:pPr>
        <w:numPr>
          <w:ilvl w:val="0"/>
          <w:numId w:val="20"/>
        </w:numPr>
        <w:rPr>
          <w:lang w:val="en-US"/>
        </w:rPr>
      </w:pPr>
      <w:r w:rsidRPr="00147843">
        <w:rPr>
          <w:lang w:val="en-US"/>
        </w:rPr>
        <w:t>Extensions of up to 10% of the total gross floor area</w:t>
      </w:r>
      <w:r w:rsidR="005E6D84">
        <w:rPr>
          <w:lang w:val="en-US"/>
        </w:rPr>
        <w:t xml:space="preserve"> w</w:t>
      </w:r>
      <w:r w:rsidRPr="00147843">
        <w:rPr>
          <w:lang w:val="en-US"/>
        </w:rPr>
        <w:t>here the project provides for an extension not exceeding 10% of the total gross floor area of the existing service.</w:t>
      </w:r>
    </w:p>
    <w:p w14:paraId="6EEBFBE3" w14:textId="499E25A8" w:rsidR="0037412E" w:rsidRPr="00147843" w:rsidRDefault="0037412E" w:rsidP="0037412E">
      <w:pPr>
        <w:numPr>
          <w:ilvl w:val="0"/>
          <w:numId w:val="20"/>
        </w:numPr>
        <w:rPr>
          <w:lang w:val="en-US"/>
        </w:rPr>
      </w:pPr>
      <w:r w:rsidRPr="00147843">
        <w:rPr>
          <w:lang w:val="en-US"/>
        </w:rPr>
        <w:lastRenderedPageBreak/>
        <w:t>Services of historical, cultural and local identity significance</w:t>
      </w:r>
      <w:r w:rsidR="005E6D84">
        <w:rPr>
          <w:lang w:val="en-US"/>
        </w:rPr>
        <w:t xml:space="preserve"> w</w:t>
      </w:r>
      <w:r w:rsidRPr="00147843">
        <w:rPr>
          <w:lang w:val="en-US"/>
        </w:rPr>
        <w:t>here the Municipal Executive Board identifies services as deserving protection due to their historical and cultural significance, local identity value and long-standing integration within the social, economic and urban fabric of the City of Milan, allowing them to remain in operation without being counted towards the calculation of the gross floor area (SL). In such cases, the relevant resolution must set out the reasons supporting the decision, taking into account the rules governing the prohibition of State aid.</w:t>
      </w:r>
    </w:p>
    <w:p w14:paraId="6E2B22F5" w14:textId="2E785494" w:rsidR="0037412E" w:rsidRPr="00652274" w:rsidRDefault="0037412E" w:rsidP="0037412E">
      <w:pPr>
        <w:rPr>
          <w:lang w:val="en-US"/>
        </w:rPr>
      </w:pPr>
      <w:r w:rsidRPr="00147843">
        <w:rPr>
          <w:lang w:val="en-US"/>
        </w:rPr>
        <w:t>For a more detailed analysis of the new framework, reference is made to the full text of the Resolution and the accompanying Technical Report, available at the following link:</w:t>
      </w:r>
      <w:r w:rsidRPr="00147843">
        <w:rPr>
          <w:lang w:val="en-US"/>
        </w:rPr>
        <w:br/>
      </w:r>
      <w:hyperlink r:id="rId19" w:history="1">
        <w:r w:rsidR="007E664A">
          <w:rPr>
            <w:rStyle w:val="Collegamentoipertestuale"/>
          </w:rPr>
          <w:t>39977923-0182-afea-705e-4481de1326c5</w:t>
        </w:r>
      </w:hyperlink>
      <w:r w:rsidR="007E664A">
        <w:t>.</w:t>
      </w:r>
    </w:p>
    <w:p w14:paraId="09FCD84E" w14:textId="21BD3F03" w:rsidR="0037412E" w:rsidRPr="00974DA0" w:rsidRDefault="0037412E" w:rsidP="0037412E">
      <w:pPr>
        <w:pStyle w:val="SI-Titolo-11Level2"/>
        <w:rPr>
          <w:i/>
          <w:iCs/>
          <w:lang w:val="en-US"/>
        </w:rPr>
      </w:pPr>
      <w:bookmarkStart w:id="13" w:name="_Toc244267109"/>
      <w:r w:rsidRPr="00974DA0">
        <w:t xml:space="preserve">Rome PRG: Lazio Region </w:t>
      </w:r>
      <w:r w:rsidR="005E6D84">
        <w:t>s</w:t>
      </w:r>
      <w:r w:rsidRPr="00974DA0">
        <w:t xml:space="preserve">uspends the </w:t>
      </w:r>
      <w:r w:rsidR="005E6D84">
        <w:t>a</w:t>
      </w:r>
      <w:r w:rsidRPr="00974DA0">
        <w:t xml:space="preserve">pproval </w:t>
      </w:r>
      <w:r w:rsidR="005E6D84">
        <w:t>p</w:t>
      </w:r>
      <w:r w:rsidRPr="00974DA0">
        <w:t>rocedure</w:t>
      </w:r>
      <w:r>
        <w:t xml:space="preserve"> </w:t>
      </w:r>
      <w:r w:rsidR="00B42101">
        <w:t>|</w:t>
      </w:r>
      <w:r>
        <w:t xml:space="preserve"> </w:t>
      </w:r>
      <w:r w:rsidRPr="00974DA0">
        <w:rPr>
          <w:i/>
          <w:iCs/>
        </w:rPr>
        <w:t>16 July 2026</w:t>
      </w:r>
      <w:bookmarkEnd w:id="13"/>
    </w:p>
    <w:p w14:paraId="4402CDA6" w14:textId="7BCD2082" w:rsidR="0037412E" w:rsidRPr="0030283A" w:rsidRDefault="0037412E" w:rsidP="0037412E">
      <w:pPr>
        <w:rPr>
          <w:lang w:val="en-US"/>
        </w:rPr>
      </w:pPr>
      <w:r w:rsidRPr="006B1A15">
        <w:rPr>
          <w:lang w:val="en-US"/>
        </w:rPr>
        <w:t xml:space="preserve">The </w:t>
      </w:r>
      <w:r w:rsidRPr="0030283A">
        <w:rPr>
          <w:lang w:val="en-US"/>
        </w:rPr>
        <w:t xml:space="preserve">Lazio Region has requested the suspension of the procedure for the approval of the amendment to the Technical Implementation Rules (NTA) of the General Town Planning Scheme (PRG) of Rome Capital, together with a further review pursuant to Article 9(63) of Regional Law </w:t>
      </w:r>
      <w:r w:rsidR="005E6D84">
        <w:rPr>
          <w:lang w:val="en-US"/>
        </w:rPr>
        <w:t>n</w:t>
      </w:r>
      <w:r w:rsidRPr="0030283A">
        <w:rPr>
          <w:lang w:val="en-US"/>
        </w:rPr>
        <w:t>o. 19/2022.</w:t>
      </w:r>
    </w:p>
    <w:p w14:paraId="3A9844AD" w14:textId="77777777" w:rsidR="0037412E" w:rsidRPr="0030283A" w:rsidRDefault="0037412E" w:rsidP="0037412E">
      <w:pPr>
        <w:rPr>
          <w:lang w:val="en-US"/>
        </w:rPr>
      </w:pPr>
      <w:r w:rsidRPr="0030283A">
        <w:rPr>
          <w:lang w:val="en-US"/>
        </w:rPr>
        <w:t>The request is based on the view that the version resulting from the Municipality’s responses to the observations submitted contains substantial amendments compared with the originally adopted text, thereby requiring a further assessment as to whether the amendment remains within the scope of those variations that do not affect the essential features of the general planning instrument.</w:t>
      </w:r>
    </w:p>
    <w:p w14:paraId="7E8F85D9" w14:textId="77777777" w:rsidR="0037412E" w:rsidRPr="0030283A" w:rsidRDefault="0037412E" w:rsidP="0037412E">
      <w:pPr>
        <w:rPr>
          <w:lang w:val="en-US"/>
        </w:rPr>
      </w:pPr>
      <w:r w:rsidRPr="0030283A">
        <w:rPr>
          <w:lang w:val="en-US"/>
        </w:rPr>
        <w:t>As part of the same review, the Region will also assess whether the amendment must be republished and whether a new period should be opened for the submission of observations.</w:t>
      </w:r>
    </w:p>
    <w:p w14:paraId="630ED057" w14:textId="77777777" w:rsidR="0037412E" w:rsidRPr="0030283A" w:rsidRDefault="0037412E" w:rsidP="0037412E">
      <w:pPr>
        <w:rPr>
          <w:lang w:val="en-US"/>
        </w:rPr>
      </w:pPr>
      <w:r w:rsidRPr="0030283A">
        <w:rPr>
          <w:lang w:val="en-US"/>
        </w:rPr>
        <w:t>The matter highlights the importance of regional oversight in urban planning procedures and the limits within which amendments introduced in response to public observations may be regarded as compatible with an ongoing planning procedure, without requiring the repetition of specific procedural steps.</w:t>
      </w:r>
    </w:p>
    <w:p w14:paraId="4A5B72D8" w14:textId="77777777" w:rsidR="0037412E" w:rsidRPr="0030283A" w:rsidRDefault="0037412E" w:rsidP="0037412E">
      <w:pPr>
        <w:rPr>
          <w:lang w:val="en-US"/>
        </w:rPr>
      </w:pPr>
      <w:r w:rsidRPr="0030283A">
        <w:rPr>
          <w:lang w:val="en-US"/>
        </w:rPr>
        <w:t>In light of these developments, it now appears unlikely that the final approval of the amendment will be granted before the summer period, as previously expected.</w:t>
      </w:r>
    </w:p>
    <w:p w14:paraId="3151AF1F" w14:textId="77777777" w:rsidR="0037412E" w:rsidRPr="0030283A" w:rsidRDefault="0037412E" w:rsidP="0037412E">
      <w:pPr>
        <w:rPr>
          <w:lang w:val="en-US"/>
        </w:rPr>
      </w:pPr>
      <w:hyperlink r:id="rId20" w:history="1">
        <w:r w:rsidRPr="0030283A">
          <w:rPr>
            <w:rStyle w:val="Collegamentoipertestuale"/>
            <w:lang w:val="en-US"/>
          </w:rPr>
          <w:t>Click here</w:t>
        </w:r>
      </w:hyperlink>
      <w:r w:rsidRPr="0030283A">
        <w:rPr>
          <w:lang w:val="en-US"/>
        </w:rPr>
        <w:t xml:space="preserve"> to view the Region’s notice addressed to the Municipality.</w:t>
      </w:r>
    </w:p>
    <w:p w14:paraId="0FE87C8B" w14:textId="1B41B359" w:rsidR="0037412E" w:rsidRDefault="0037412E" w:rsidP="0037412E">
      <w:pPr>
        <w:pStyle w:val="SI-Titolo-11Level2"/>
        <w:rPr>
          <w:i/>
          <w:iCs/>
          <w:lang w:val="en-US"/>
        </w:rPr>
      </w:pPr>
      <w:bookmarkStart w:id="14" w:name="_Toc244267110"/>
      <w:r w:rsidRPr="005B7DF9">
        <w:rPr>
          <w:lang w:val="en-US"/>
        </w:rPr>
        <w:t xml:space="preserve">The “Torre Milano” Case: Guido Alberto Inzaghi </w:t>
      </w:r>
      <w:r w:rsidR="005E6D84">
        <w:rPr>
          <w:lang w:val="en-US"/>
        </w:rPr>
        <w:t>c</w:t>
      </w:r>
      <w:r w:rsidRPr="005B7DF9">
        <w:rPr>
          <w:lang w:val="en-US"/>
        </w:rPr>
        <w:t>omments on the Criminal Court Judgment in InGENIO</w:t>
      </w:r>
      <w:r>
        <w:rPr>
          <w:lang w:val="en-US"/>
        </w:rPr>
        <w:t xml:space="preserve"> </w:t>
      </w:r>
      <w:r w:rsidR="00B42101">
        <w:rPr>
          <w:lang w:val="en-US"/>
        </w:rPr>
        <w:t>|</w:t>
      </w:r>
      <w:r>
        <w:rPr>
          <w:lang w:val="en-US"/>
        </w:rPr>
        <w:t xml:space="preserve"> </w:t>
      </w:r>
      <w:r w:rsidRPr="005B7DF9">
        <w:rPr>
          <w:i/>
          <w:iCs/>
          <w:lang w:val="en-US"/>
        </w:rPr>
        <w:t>16 July 2026</w:t>
      </w:r>
      <w:bookmarkEnd w:id="14"/>
    </w:p>
    <w:p w14:paraId="64FE8D4D" w14:textId="77777777" w:rsidR="0037412E" w:rsidRPr="00D53982" w:rsidRDefault="0037412E" w:rsidP="0037412E">
      <w:pPr>
        <w:rPr>
          <w:lang w:val="en-US"/>
        </w:rPr>
      </w:pPr>
      <w:r w:rsidRPr="00D53982">
        <w:rPr>
          <w:lang w:val="en-US"/>
        </w:rPr>
        <w:t>Our Managing Partner, Guido Alberto Inzaghi, comments in Ingenio on the judgment of the Criminal Court of Milan in the “Torre Milano” case, which acquitted the eight municipal officials involved in the proceedings concerning the construction of the tower under a SCIA (Certified Notice of Commencement of Works).</w:t>
      </w:r>
    </w:p>
    <w:p w14:paraId="147FB4A4" w14:textId="77777777" w:rsidR="0037412E" w:rsidRPr="00D53982" w:rsidRDefault="0037412E" w:rsidP="0037412E">
      <w:pPr>
        <w:rPr>
          <w:lang w:val="en-US"/>
        </w:rPr>
      </w:pPr>
      <w:r w:rsidRPr="00D53982">
        <w:rPr>
          <w:lang w:val="en-US"/>
        </w:rPr>
        <w:lastRenderedPageBreak/>
        <w:t>Although the Court held that the project should have been classified as new construction, requiring a building permit rather than a SCIA and the prior approval of an implementation plan (as the building exceeds both the 25-metre height threshold and the planning density threshold of 3 cubic metres per square metre), it excluded the defendants’ criminal liability, recognising that the officials had acted in good faith in light of the uncertainty surrounding the applicable regulatory framework.</w:t>
      </w:r>
    </w:p>
    <w:p w14:paraId="0241C01D" w14:textId="77777777" w:rsidR="0037412E" w:rsidRPr="00D53982" w:rsidRDefault="0037412E" w:rsidP="0037412E">
      <w:pPr>
        <w:rPr>
          <w:lang w:val="en-US"/>
        </w:rPr>
      </w:pPr>
      <w:r w:rsidRPr="00D53982">
        <w:rPr>
          <w:lang w:val="en-US"/>
        </w:rPr>
        <w:t>This conclusion contrasts with the most recent judgment of the Council of State, delivered at the end of May, which instead classified projects of this nature as building renovation.</w:t>
      </w:r>
    </w:p>
    <w:p w14:paraId="2F73C56B" w14:textId="76F478F4" w:rsidR="0037412E" w:rsidRPr="00D53982" w:rsidRDefault="0037412E" w:rsidP="0037412E">
      <w:pPr>
        <w:rPr>
          <w:lang w:val="en-US"/>
        </w:rPr>
      </w:pPr>
      <w:r w:rsidRPr="00D53982">
        <w:rPr>
          <w:lang w:val="en-US"/>
        </w:rPr>
        <w:t xml:space="preserve">According to Inzaghi, this is precisely the most significant and critical aspect of the judgment: it confirms that the distinction between building refurbishment and new construction continues to be </w:t>
      </w:r>
      <w:r w:rsidR="005E6D84" w:rsidRPr="00D53982">
        <w:rPr>
          <w:lang w:val="en-US"/>
        </w:rPr>
        <w:t>characterized</w:t>
      </w:r>
      <w:r w:rsidRPr="00D53982">
        <w:rPr>
          <w:lang w:val="en-US"/>
        </w:rPr>
        <w:t xml:space="preserve"> by significant interpretative uncertainty.</w:t>
      </w:r>
    </w:p>
    <w:p w14:paraId="07696C26" w14:textId="77777777" w:rsidR="0037412E" w:rsidRPr="00D53982" w:rsidRDefault="0037412E" w:rsidP="0037412E">
      <w:pPr>
        <w:rPr>
          <w:lang w:val="en-US"/>
        </w:rPr>
      </w:pPr>
      <w:r w:rsidRPr="00D53982">
        <w:rPr>
          <w:lang w:val="en-US"/>
        </w:rPr>
        <w:t>Indeed, recent criminal case law has increasingly tended to classify demolition and reconstruction projects as new construction, even where the differences from the pre-existing building are only marginal.</w:t>
      </w:r>
    </w:p>
    <w:p w14:paraId="7266A2DA" w14:textId="77777777" w:rsidR="0037412E" w:rsidRPr="00D53982" w:rsidRDefault="0037412E" w:rsidP="0037412E">
      <w:pPr>
        <w:rPr>
          <w:lang w:val="en-US"/>
        </w:rPr>
      </w:pPr>
      <w:r w:rsidRPr="00D53982">
        <w:rPr>
          <w:lang w:val="en-US"/>
        </w:rPr>
        <w:t>As Inzaghi observes, this interpretation risks adversely affecting urban regeneration projects, since classifying a development as new construction entails a more burdensome authorisation procedure based on the issuance of a building permit and, where applicable, the prior approval of an implementation plan, with inevitable consequences for both project timelines and development costs.</w:t>
      </w:r>
    </w:p>
    <w:p w14:paraId="6682761C" w14:textId="77777777" w:rsidR="0037412E" w:rsidRPr="00D53982" w:rsidRDefault="0037412E" w:rsidP="0037412E">
      <w:pPr>
        <w:rPr>
          <w:lang w:val="en-US"/>
        </w:rPr>
      </w:pPr>
      <w:r w:rsidRPr="00D53982">
        <w:rPr>
          <w:lang w:val="en-US"/>
        </w:rPr>
        <w:t>For this reason, Inzaghi highlights the need to complete the reform of the Consolidated Building Act (</w:t>
      </w:r>
      <w:r w:rsidRPr="00D53982">
        <w:rPr>
          <w:i/>
          <w:iCs/>
          <w:lang w:val="en-US"/>
        </w:rPr>
        <w:t>Testo Unico dell’Edilizia</w:t>
      </w:r>
      <w:r w:rsidRPr="00D53982">
        <w:rPr>
          <w:lang w:val="en-US"/>
        </w:rPr>
        <w:t>) or, at the very least, to improve the efficiency of the planning framework and administrative procedures.</w:t>
      </w:r>
    </w:p>
    <w:p w14:paraId="35FA062F" w14:textId="77777777" w:rsidR="0037412E" w:rsidRDefault="0037412E" w:rsidP="0037412E">
      <w:pPr>
        <w:rPr>
          <w:lang w:val="en-US"/>
        </w:rPr>
      </w:pPr>
      <w:r w:rsidRPr="00D53982">
        <w:rPr>
          <w:lang w:val="en-US"/>
        </w:rPr>
        <w:t>Only a clear regulatory framework, predictable interpretative rules and reliable authorisation timelines can ensure the competitiveness of the real estate market and effectively support Milan’s urban regeneration</w:t>
      </w:r>
      <w:r>
        <w:rPr>
          <w:lang w:val="en-US"/>
        </w:rPr>
        <w:t>.</w:t>
      </w:r>
    </w:p>
    <w:p w14:paraId="728F7754" w14:textId="461B2237" w:rsidR="0037412E" w:rsidRPr="009C75FA" w:rsidRDefault="0037412E" w:rsidP="0037412E">
      <w:pPr>
        <w:pStyle w:val="SI-Titolo-11Level2"/>
        <w:rPr>
          <w:lang w:val="en-US"/>
        </w:rPr>
      </w:pPr>
      <w:bookmarkStart w:id="15" w:name="_Toc244267111"/>
      <w:r w:rsidRPr="009C75FA">
        <w:rPr>
          <w:lang w:val="en-US"/>
        </w:rPr>
        <w:t xml:space="preserve">Regional Administrative Court of Lombardy – Milan, Judgment </w:t>
      </w:r>
      <w:r w:rsidR="005E6D84">
        <w:rPr>
          <w:lang w:val="en-US"/>
        </w:rPr>
        <w:t>n</w:t>
      </w:r>
      <w:r w:rsidRPr="009C75FA">
        <w:rPr>
          <w:lang w:val="en-US"/>
        </w:rPr>
        <w:t>o. 3495 of 1 July 2026</w:t>
      </w:r>
      <w:r>
        <w:rPr>
          <w:lang w:val="en-US"/>
        </w:rPr>
        <w:t xml:space="preserve"> </w:t>
      </w:r>
      <w:r w:rsidR="00B42101">
        <w:rPr>
          <w:lang w:val="en-US"/>
        </w:rPr>
        <w:t>|</w:t>
      </w:r>
      <w:r>
        <w:rPr>
          <w:lang w:val="en-US"/>
        </w:rPr>
        <w:t xml:space="preserve"> </w:t>
      </w:r>
      <w:r w:rsidRPr="009C75FA">
        <w:rPr>
          <w:i/>
          <w:iCs/>
          <w:lang w:val="en-US"/>
        </w:rPr>
        <w:t>8 July 2026</w:t>
      </w:r>
      <w:bookmarkEnd w:id="15"/>
    </w:p>
    <w:p w14:paraId="04E1CA3B" w14:textId="36C782CE" w:rsidR="0037412E" w:rsidRPr="009C75FA" w:rsidRDefault="0037412E" w:rsidP="0037412E">
      <w:pPr>
        <w:rPr>
          <w:lang w:val="en-US"/>
        </w:rPr>
      </w:pPr>
      <w:r w:rsidRPr="009C75FA">
        <w:rPr>
          <w:lang w:val="en-US"/>
        </w:rPr>
        <w:t xml:space="preserve">By Judgment </w:t>
      </w:r>
      <w:r>
        <w:rPr>
          <w:lang w:val="en-US"/>
        </w:rPr>
        <w:t>n</w:t>
      </w:r>
      <w:r w:rsidRPr="009C75FA">
        <w:rPr>
          <w:lang w:val="en-US"/>
        </w:rPr>
        <w:t xml:space="preserve">o. 3495/2026, delivered in proceedings in which the Firm represented the claimant, the Regional Administrative Court of Lombardy – Milan addresses two key issues concerning urban planning in the City of Milan: (i) the distinction between building renovation and new construction, and (ii) the circumstances in which the prior approval of an implementation plan is required, in light of the Guidelines adopted by the Municipality of Milan through Executive Board Resolution No. 552/2025 and Director’s Decision </w:t>
      </w:r>
      <w:r>
        <w:rPr>
          <w:lang w:val="en-US"/>
        </w:rPr>
        <w:t>n</w:t>
      </w:r>
      <w:r w:rsidRPr="009C75FA">
        <w:rPr>
          <w:lang w:val="en-US"/>
        </w:rPr>
        <w:t>o. 4192/2025.</w:t>
      </w:r>
    </w:p>
    <w:p w14:paraId="6517DE85" w14:textId="1825A47E" w:rsidR="0037412E" w:rsidRPr="0037412E" w:rsidRDefault="0037412E" w:rsidP="0037412E">
      <w:pPr>
        <w:rPr>
          <w:u w:val="single"/>
          <w:lang w:val="en-US"/>
        </w:rPr>
      </w:pPr>
      <w:r w:rsidRPr="0037412E">
        <w:rPr>
          <w:u w:val="single"/>
          <w:lang w:val="en-US"/>
        </w:rPr>
        <w:t xml:space="preserve">The </w:t>
      </w:r>
      <w:r w:rsidR="005E6D84">
        <w:rPr>
          <w:u w:val="single"/>
          <w:lang w:val="en-US"/>
        </w:rPr>
        <w:t>c</w:t>
      </w:r>
      <w:r w:rsidRPr="0037412E">
        <w:rPr>
          <w:u w:val="single"/>
          <w:lang w:val="en-US"/>
        </w:rPr>
        <w:t>ase</w:t>
      </w:r>
    </w:p>
    <w:p w14:paraId="5FC09125" w14:textId="77777777" w:rsidR="0037412E" w:rsidRPr="009C75FA" w:rsidRDefault="0037412E" w:rsidP="0037412E">
      <w:pPr>
        <w:rPr>
          <w:lang w:val="en-US"/>
        </w:rPr>
      </w:pPr>
      <w:r w:rsidRPr="009C75FA">
        <w:rPr>
          <w:lang w:val="en-US"/>
        </w:rPr>
        <w:t>The proceedings originated from the Municipality’s refusal to issue a building permit for the redevelopment of an office building located within Milan’s historic centre (NAF).</w:t>
      </w:r>
    </w:p>
    <w:p w14:paraId="798D29CE" w14:textId="65AF7E1B" w:rsidR="0037412E" w:rsidRPr="009C75FA" w:rsidRDefault="0037412E" w:rsidP="0037412E">
      <w:pPr>
        <w:rPr>
          <w:lang w:val="en-US"/>
        </w:rPr>
      </w:pPr>
      <w:r w:rsidRPr="009C75FA">
        <w:rPr>
          <w:lang w:val="en-US"/>
        </w:rPr>
        <w:t xml:space="preserve">The claimant classified the project as building renovation pursuant to Article 3(1)(d) of Presidential Decree </w:t>
      </w:r>
      <w:r w:rsidR="005E6D84">
        <w:rPr>
          <w:lang w:val="en-US"/>
        </w:rPr>
        <w:t>n</w:t>
      </w:r>
      <w:r w:rsidRPr="009C75FA">
        <w:rPr>
          <w:lang w:val="en-US"/>
        </w:rPr>
        <w:t xml:space="preserve">o. 380/2001, arguing that, although the project included energy-efficiency, </w:t>
      </w:r>
      <w:r w:rsidRPr="009C75FA">
        <w:rPr>
          <w:lang w:val="en-US"/>
        </w:rPr>
        <w:lastRenderedPageBreak/>
        <w:t>seismic and structural upgrading works, a limited redistribution of the existing volumes with minor extensions beyond the original building footprint, the conservation of the existing facades, the redevelopment of the surrounding external areas and a partial change of use from office to retail, it nevertheless preserved the original architectural, volumetric and spatial configuration of the building.</w:t>
      </w:r>
    </w:p>
    <w:p w14:paraId="3789BD38" w14:textId="77777777" w:rsidR="0037412E" w:rsidRPr="009C75FA" w:rsidRDefault="0037412E" w:rsidP="0037412E">
      <w:pPr>
        <w:rPr>
          <w:lang w:val="en-US"/>
        </w:rPr>
      </w:pPr>
      <w:r w:rsidRPr="009C75FA">
        <w:rPr>
          <w:lang w:val="en-US"/>
        </w:rPr>
        <w:t>The Municipality, on the other hand, considered that the project constituted new construction, as it also involved demolition and reconstruction works, and held that, given the floor area ratio exceeding 3 cubic metres per square metre and the departure from the morphological rules of the Town Planning Scheme (PGT), the project required the prior approval of an implementation plan.</w:t>
      </w:r>
    </w:p>
    <w:p w14:paraId="3A2CF113" w14:textId="77777777" w:rsidR="0037412E" w:rsidRPr="009C75FA" w:rsidRDefault="0037412E" w:rsidP="0037412E">
      <w:pPr>
        <w:rPr>
          <w:lang w:val="en-US"/>
        </w:rPr>
      </w:pPr>
      <w:r w:rsidRPr="009C75FA">
        <w:rPr>
          <w:lang w:val="en-US"/>
        </w:rPr>
        <w:t>The claimant challenged the refusal before the Regional Administrative Court of Lombardy, which upheld the appeal for the reasons set out below.</w:t>
      </w:r>
    </w:p>
    <w:p w14:paraId="692936AC" w14:textId="5026914A" w:rsidR="0037412E" w:rsidRPr="005E6D84" w:rsidRDefault="0037412E" w:rsidP="0037412E">
      <w:pPr>
        <w:rPr>
          <w:u w:val="single"/>
          <w:lang w:val="en-US"/>
        </w:rPr>
      </w:pPr>
      <w:r w:rsidRPr="005E6D84">
        <w:rPr>
          <w:u w:val="single"/>
          <w:lang w:val="en-US"/>
        </w:rPr>
        <w:t xml:space="preserve">The Regional Administrative Court’s </w:t>
      </w:r>
      <w:r w:rsidR="005E6D84">
        <w:rPr>
          <w:u w:val="single"/>
          <w:lang w:val="en-US"/>
        </w:rPr>
        <w:t>f</w:t>
      </w:r>
      <w:r w:rsidRPr="005E6D84">
        <w:rPr>
          <w:u w:val="single"/>
          <w:lang w:val="en-US"/>
        </w:rPr>
        <w:t>indings</w:t>
      </w:r>
    </w:p>
    <w:p w14:paraId="6D235D57" w14:textId="77777777" w:rsidR="0037412E" w:rsidRPr="009C75FA" w:rsidRDefault="0037412E" w:rsidP="0037412E">
      <w:pPr>
        <w:rPr>
          <w:lang w:val="en-US"/>
        </w:rPr>
      </w:pPr>
      <w:r w:rsidRPr="009C75FA">
        <w:rPr>
          <w:lang w:val="en-US"/>
        </w:rPr>
        <w:t>a) Classification of the Project: Building Renovation Rather than New Construction</w:t>
      </w:r>
    </w:p>
    <w:p w14:paraId="00C0D24A" w14:textId="77777777" w:rsidR="0037412E" w:rsidRPr="009C75FA" w:rsidRDefault="0037412E" w:rsidP="0037412E">
      <w:pPr>
        <w:rPr>
          <w:lang w:val="en-US"/>
        </w:rPr>
      </w:pPr>
      <w:r w:rsidRPr="009C75FA">
        <w:rPr>
          <w:lang w:val="en-US"/>
        </w:rPr>
        <w:t>The Regional Administrative Court held that the project could not be classified as new construction.</w:t>
      </w:r>
    </w:p>
    <w:p w14:paraId="005001C8" w14:textId="602736A6" w:rsidR="0037412E" w:rsidRPr="009C75FA" w:rsidRDefault="0037412E" w:rsidP="0037412E">
      <w:pPr>
        <w:rPr>
          <w:lang w:val="en-US"/>
        </w:rPr>
      </w:pPr>
      <w:r w:rsidRPr="009C75FA">
        <w:rPr>
          <w:lang w:val="en-US"/>
        </w:rPr>
        <w:t xml:space="preserve">The Court noted that the demolition and reconstruction works extending beyond the original building footprint concerned only a limited portion of the building and that the project, when assessed as a whole rather than on an atomistic basis, primarily consisted of functional </w:t>
      </w:r>
      <w:r w:rsidR="005E6D84" w:rsidRPr="009C75FA">
        <w:rPr>
          <w:lang w:val="en-US"/>
        </w:rPr>
        <w:t>reorganization</w:t>
      </w:r>
      <w:r w:rsidRPr="009C75FA">
        <w:rPr>
          <w:lang w:val="en-US"/>
        </w:rPr>
        <w:t xml:space="preserve"> works, structural upgrading and improvements to the performance of the existing building, without altering its overall volume, footprint or maximum height.</w:t>
      </w:r>
    </w:p>
    <w:p w14:paraId="1860FF2C" w14:textId="77777777" w:rsidR="0037412E" w:rsidRPr="009C75FA" w:rsidRDefault="0037412E" w:rsidP="0037412E">
      <w:pPr>
        <w:rPr>
          <w:lang w:val="en-US"/>
        </w:rPr>
      </w:pPr>
      <w:r w:rsidRPr="009C75FA">
        <w:rPr>
          <w:lang w:val="en-US"/>
        </w:rPr>
        <w:t>The Court found that, although the correspondence between the proposed and the existing building was not perfect, it was nevertheless sufficient to exclude a substantial transformation of the building capable of qualifying the project as new construction.</w:t>
      </w:r>
    </w:p>
    <w:p w14:paraId="5C29EBB9" w14:textId="77777777" w:rsidR="0037412E" w:rsidRPr="009C75FA" w:rsidRDefault="0037412E" w:rsidP="0037412E">
      <w:pPr>
        <w:rPr>
          <w:lang w:val="en-US"/>
        </w:rPr>
      </w:pPr>
      <w:r w:rsidRPr="009C75FA">
        <w:rPr>
          <w:lang w:val="en-US"/>
        </w:rPr>
        <w:t>Referring to the principles established by the Council of State (Judgment No. 8542 of 4 November 2025), the Regional Administrative Court reiterated that building renovation may exist even “in the absence of perfect continuity between the new and the pre-existing building”, provided that “the requirements of the unity of the building, the simultaneity of demolition and reconstruction and the mere use of the pre-existing volume, without further alterations to the morphology of the area” are satisfied.</w:t>
      </w:r>
    </w:p>
    <w:p w14:paraId="4F44F724" w14:textId="3A5AA8BE" w:rsidR="0037412E" w:rsidRPr="009C75FA" w:rsidRDefault="0037412E" w:rsidP="0037412E">
      <w:pPr>
        <w:rPr>
          <w:lang w:val="en-US"/>
        </w:rPr>
      </w:pPr>
      <w:r w:rsidRPr="009C75FA">
        <w:rPr>
          <w:lang w:val="en-US"/>
        </w:rPr>
        <w:t xml:space="preserve">b) Properties </w:t>
      </w:r>
      <w:r w:rsidR="005E6D84">
        <w:rPr>
          <w:lang w:val="en-US"/>
        </w:rPr>
        <w:t>l</w:t>
      </w:r>
      <w:r w:rsidRPr="009C75FA">
        <w:rPr>
          <w:lang w:val="en-US"/>
        </w:rPr>
        <w:t xml:space="preserve">ocated in Zone A and </w:t>
      </w:r>
      <w:r w:rsidR="005E6D84">
        <w:rPr>
          <w:lang w:val="en-US"/>
        </w:rPr>
        <w:t>h</w:t>
      </w:r>
      <w:r w:rsidRPr="009C75FA">
        <w:rPr>
          <w:lang w:val="en-US"/>
        </w:rPr>
        <w:t xml:space="preserve">istoric </w:t>
      </w:r>
      <w:r w:rsidR="005E6D84">
        <w:rPr>
          <w:lang w:val="en-US"/>
        </w:rPr>
        <w:t>c</w:t>
      </w:r>
      <w:r w:rsidRPr="009C75FA">
        <w:rPr>
          <w:lang w:val="en-US"/>
        </w:rPr>
        <w:t xml:space="preserve">entres: </w:t>
      </w:r>
      <w:r w:rsidR="005E6D84">
        <w:rPr>
          <w:lang w:val="en-US"/>
        </w:rPr>
        <w:t>t</w:t>
      </w:r>
      <w:r w:rsidRPr="009C75FA">
        <w:rPr>
          <w:lang w:val="en-US"/>
        </w:rPr>
        <w:t xml:space="preserve">he </w:t>
      </w:r>
      <w:r w:rsidR="005E6D84">
        <w:rPr>
          <w:lang w:val="en-US"/>
        </w:rPr>
        <w:t>s</w:t>
      </w:r>
      <w:r w:rsidRPr="009C75FA">
        <w:rPr>
          <w:lang w:val="en-US"/>
        </w:rPr>
        <w:t xml:space="preserve">ignificance of the </w:t>
      </w:r>
      <w:r w:rsidR="005E6D84">
        <w:rPr>
          <w:lang w:val="en-US"/>
        </w:rPr>
        <w:t>s</w:t>
      </w:r>
      <w:r w:rsidRPr="009C75FA">
        <w:rPr>
          <w:lang w:val="en-US"/>
        </w:rPr>
        <w:t xml:space="preserve">aving </w:t>
      </w:r>
      <w:r w:rsidR="005E6D84">
        <w:rPr>
          <w:lang w:val="en-US"/>
        </w:rPr>
        <w:t>c</w:t>
      </w:r>
      <w:r w:rsidRPr="009C75FA">
        <w:rPr>
          <w:lang w:val="en-US"/>
        </w:rPr>
        <w:t>lause</w:t>
      </w:r>
    </w:p>
    <w:p w14:paraId="23C9FF3D" w14:textId="304DFC15" w:rsidR="0037412E" w:rsidRPr="009C75FA" w:rsidRDefault="0037412E" w:rsidP="0037412E">
      <w:pPr>
        <w:rPr>
          <w:lang w:val="en-US"/>
        </w:rPr>
      </w:pPr>
      <w:r w:rsidRPr="009C75FA">
        <w:rPr>
          <w:lang w:val="en-US"/>
        </w:rPr>
        <w:t xml:space="preserve">The Regional Administrative Court also examined the limitation set out in Article 3(1)(d) of Presidential Decree </w:t>
      </w:r>
      <w:r w:rsidR="005E6D84">
        <w:rPr>
          <w:lang w:val="en-US"/>
        </w:rPr>
        <w:t>n</w:t>
      </w:r>
      <w:r w:rsidRPr="009C75FA">
        <w:rPr>
          <w:lang w:val="en-US"/>
        </w:rPr>
        <w:t>o. 380/2001 applicable to properties located in Zone A and historic centres, under which demolition and reconstruction works qualify as building renovation only where the building footprint, facades, site, volumetric and typological characteristics of the existing building are preserved, without any increase in volume (the so-called “faithful demolition and reconstruction”).</w:t>
      </w:r>
    </w:p>
    <w:p w14:paraId="175194DD" w14:textId="77777777" w:rsidR="0037412E" w:rsidRPr="009C75FA" w:rsidRDefault="0037412E" w:rsidP="0037412E">
      <w:pPr>
        <w:rPr>
          <w:lang w:val="en-US"/>
        </w:rPr>
      </w:pPr>
      <w:r w:rsidRPr="009C75FA">
        <w:rPr>
          <w:lang w:val="en-US"/>
        </w:rPr>
        <w:t>According to the Court, however, this limitation is not absolute, since the same provision contains a saving clause allowing derogations where expressly provided by legislation or by town planning instruments.</w:t>
      </w:r>
    </w:p>
    <w:p w14:paraId="2FC8A3A0" w14:textId="77777777" w:rsidR="0037412E" w:rsidRPr="009C75FA" w:rsidRDefault="0037412E" w:rsidP="0037412E">
      <w:pPr>
        <w:rPr>
          <w:lang w:val="en-US"/>
        </w:rPr>
      </w:pPr>
      <w:r w:rsidRPr="009C75FA">
        <w:rPr>
          <w:lang w:val="en-US"/>
        </w:rPr>
        <w:lastRenderedPageBreak/>
        <w:t>In the case at hand, the property is located within the “Nuclei di Antica Formazione (NAF)” governed by Articles 18 and 19 of the Technical Implementation Rules of the Rules Plan of the Milan PGT. With regard to buildings of aesthetic, cultural and environmental value, such provisions permit works up to the level of building renovation, requiring the preservation of the building footprint, site and facades facing public spaces”, while also allowing “different categories of intervention” subject to a favourable opinion of the Landscape Commission.</w:t>
      </w:r>
    </w:p>
    <w:p w14:paraId="3F39F396" w14:textId="77777777" w:rsidR="0037412E" w:rsidRPr="009C75FA" w:rsidRDefault="0037412E" w:rsidP="0037412E">
      <w:pPr>
        <w:rPr>
          <w:lang w:val="en-US"/>
        </w:rPr>
      </w:pPr>
      <w:r w:rsidRPr="009C75FA">
        <w:rPr>
          <w:lang w:val="en-US"/>
        </w:rPr>
        <w:t>The saving clause contained in Article 3(1)(d) of Presidential Decree No. 380/2001 therefore allows the local planning framework to prevail and permits the project to remain classified as building renovation, even where not all the features of the original building are perfectly preserved.</w:t>
      </w:r>
    </w:p>
    <w:p w14:paraId="2D429FC1" w14:textId="06CB6212" w:rsidR="0037412E" w:rsidRPr="009C75FA" w:rsidRDefault="0037412E" w:rsidP="0037412E">
      <w:pPr>
        <w:rPr>
          <w:lang w:val="en-US"/>
        </w:rPr>
      </w:pPr>
      <w:r w:rsidRPr="009C75FA">
        <w:rPr>
          <w:lang w:val="en-US"/>
        </w:rPr>
        <w:t xml:space="preserve">c) Inapplicability of the </w:t>
      </w:r>
      <w:r w:rsidR="005E6D84">
        <w:rPr>
          <w:lang w:val="en-US"/>
        </w:rPr>
        <w:t>g</w:t>
      </w:r>
      <w:r w:rsidRPr="009C75FA">
        <w:rPr>
          <w:lang w:val="en-US"/>
        </w:rPr>
        <w:t xml:space="preserve">uidelines on </w:t>
      </w:r>
      <w:r w:rsidR="005E6D84">
        <w:rPr>
          <w:lang w:val="en-US"/>
        </w:rPr>
        <w:t>i</w:t>
      </w:r>
      <w:r w:rsidRPr="009C75FA">
        <w:rPr>
          <w:lang w:val="en-US"/>
        </w:rPr>
        <w:t xml:space="preserve">mplementation </w:t>
      </w:r>
      <w:r w:rsidR="005E6D84">
        <w:rPr>
          <w:lang w:val="en-US"/>
        </w:rPr>
        <w:t>p</w:t>
      </w:r>
      <w:r w:rsidRPr="009C75FA">
        <w:rPr>
          <w:lang w:val="en-US"/>
        </w:rPr>
        <w:t>lans</w:t>
      </w:r>
    </w:p>
    <w:p w14:paraId="6FF775EB" w14:textId="3D95E234" w:rsidR="0037412E" w:rsidRPr="009C75FA" w:rsidRDefault="0037412E" w:rsidP="0037412E">
      <w:pPr>
        <w:rPr>
          <w:lang w:val="en-US"/>
        </w:rPr>
      </w:pPr>
      <w:r w:rsidRPr="009C75FA">
        <w:rPr>
          <w:lang w:val="en-US"/>
        </w:rPr>
        <w:t xml:space="preserve">Since the project qualifies as building renovation rather than new construction, the Court excluded the applicability of the Guidelines adopted by the Municipality of Milan through Executive Board Resolution </w:t>
      </w:r>
      <w:r w:rsidR="005E6D84">
        <w:rPr>
          <w:lang w:val="en-US"/>
        </w:rPr>
        <w:t>n</w:t>
      </w:r>
      <w:r w:rsidRPr="009C75FA">
        <w:rPr>
          <w:lang w:val="en-US"/>
        </w:rPr>
        <w:t xml:space="preserve">o. 552/2025 and Director’s Decision </w:t>
      </w:r>
      <w:r w:rsidR="005E6D84">
        <w:rPr>
          <w:lang w:val="en-US"/>
        </w:rPr>
        <w:t>n</w:t>
      </w:r>
      <w:r w:rsidRPr="009C75FA">
        <w:rPr>
          <w:lang w:val="en-US"/>
        </w:rPr>
        <w:t>o. 4192/2025, insofar as they require the prior approval of an implementation plan as a condition for the issuance of a building title.</w:t>
      </w:r>
    </w:p>
    <w:p w14:paraId="0373AB2A" w14:textId="77777777" w:rsidR="0037412E" w:rsidRPr="009C75FA" w:rsidRDefault="0037412E" w:rsidP="0037412E">
      <w:pPr>
        <w:rPr>
          <w:lang w:val="en-US"/>
        </w:rPr>
      </w:pPr>
      <w:r w:rsidRPr="009C75FA">
        <w:rPr>
          <w:lang w:val="en-US"/>
        </w:rPr>
        <w:t>The Court reaffirmed that, pursuant to the Guidelines, an implementation plan is required only for new construction projects exceeding certain dimensional thresholds (a height exceeding 25 metres or a floor area ratio exceeding 3 cubic metres per square metre) in areas that are not adequately urbanised or where the project departs from the morphological rules of the PGT.</w:t>
      </w:r>
    </w:p>
    <w:p w14:paraId="077A283A" w14:textId="77777777" w:rsidR="0037412E" w:rsidRPr="009C75FA" w:rsidRDefault="0037412E" w:rsidP="0037412E">
      <w:pPr>
        <w:rPr>
          <w:lang w:val="en-US"/>
        </w:rPr>
      </w:pPr>
      <w:r w:rsidRPr="009C75FA">
        <w:rPr>
          <w:lang w:val="en-US"/>
        </w:rPr>
        <w:t>Projects qualifying as building renovation, by contrast, fall outside the scope of those provisions and remain subject to the ordinary planning rules of the PGT. Accordingly, the refusal was held to be unlawful insofar as it made the issuance of the building permit conditional upon the prior approval of an implementation plan.</w:t>
      </w:r>
    </w:p>
    <w:p w14:paraId="7465F4DC" w14:textId="77777777" w:rsidR="0037412E" w:rsidRPr="009C75FA" w:rsidRDefault="0037412E" w:rsidP="0037412E">
      <w:pPr>
        <w:rPr>
          <w:lang w:val="en-US"/>
        </w:rPr>
      </w:pPr>
      <w:r w:rsidRPr="009C75FA">
        <w:rPr>
          <w:lang w:val="en-US"/>
        </w:rPr>
        <w:t xml:space="preserve">Click </w:t>
      </w:r>
      <w:hyperlink r:id="rId21" w:history="1">
        <w:r w:rsidRPr="009C75FA">
          <w:rPr>
            <w:rStyle w:val="Collegamentoipertestuale"/>
            <w:lang w:val="en-US"/>
          </w:rPr>
          <w:t>here</w:t>
        </w:r>
      </w:hyperlink>
      <w:r w:rsidRPr="009C75FA">
        <w:rPr>
          <w:lang w:val="en-US"/>
        </w:rPr>
        <w:t xml:space="preserve"> to read the full text of the judgment</w:t>
      </w:r>
    </w:p>
    <w:p w14:paraId="1BE05540" w14:textId="200E35FF" w:rsidR="00044027" w:rsidRPr="006F4DE5" w:rsidRDefault="006F4DE5" w:rsidP="00044027">
      <w:pPr>
        <w:pStyle w:val="SI-Titolo-11Level2"/>
        <w:rPr>
          <w:lang w:val="en-US"/>
        </w:rPr>
      </w:pPr>
      <w:bookmarkStart w:id="16" w:name="_Toc244267112"/>
      <w:r w:rsidRPr="006F4DE5">
        <w:t xml:space="preserve">Lombardy Region </w:t>
      </w:r>
      <w:r w:rsidR="00B42101">
        <w:t>a</w:t>
      </w:r>
      <w:r w:rsidRPr="006F4DE5">
        <w:t xml:space="preserve">pproves </w:t>
      </w:r>
      <w:r w:rsidR="00B42101">
        <w:t>n</w:t>
      </w:r>
      <w:r w:rsidRPr="006F4DE5">
        <w:t xml:space="preserve">ew </w:t>
      </w:r>
      <w:r w:rsidR="00B42101">
        <w:t>e</w:t>
      </w:r>
      <w:r w:rsidRPr="006F4DE5">
        <w:t xml:space="preserve">nvironmental </w:t>
      </w:r>
      <w:r w:rsidR="00B42101">
        <w:t>i</w:t>
      </w:r>
      <w:r w:rsidRPr="006F4DE5">
        <w:t xml:space="preserve">mpact </w:t>
      </w:r>
      <w:r w:rsidR="00B42101">
        <w:t>a</w:t>
      </w:r>
      <w:r w:rsidRPr="006F4DE5">
        <w:t xml:space="preserve">ssessment (EIA) </w:t>
      </w:r>
      <w:r w:rsidR="00B42101">
        <w:t>f</w:t>
      </w:r>
      <w:r w:rsidRPr="006F4DE5">
        <w:t>ramework</w:t>
      </w:r>
      <w:r>
        <w:t xml:space="preserve"> </w:t>
      </w:r>
      <w:r w:rsidR="00B42101">
        <w:t>|</w:t>
      </w:r>
      <w:r>
        <w:t xml:space="preserve"> </w:t>
      </w:r>
      <w:r w:rsidRPr="006F4DE5">
        <w:rPr>
          <w:i/>
          <w:iCs/>
        </w:rPr>
        <w:t>3 July 2026</w:t>
      </w:r>
      <w:bookmarkEnd w:id="16"/>
    </w:p>
    <w:p w14:paraId="73A688D4" w14:textId="3F0658BA" w:rsidR="006B1A15" w:rsidRPr="006B1A15" w:rsidRDefault="006B1A15" w:rsidP="006B1A15">
      <w:pPr>
        <w:rPr>
          <w:lang w:val="en-US"/>
        </w:rPr>
      </w:pPr>
      <w:r w:rsidRPr="006B1A15">
        <w:rPr>
          <w:lang w:val="en-US"/>
        </w:rPr>
        <w:t>The Lombardy Regional Council has approved a new law updating the regional framework governing Environmental Impact Assessment (EIA), with the aim of clarifying the allocation of administrative responsibilities and streamlining the conduct of EIA procedures.</w:t>
      </w:r>
    </w:p>
    <w:p w14:paraId="56DC1324" w14:textId="77777777" w:rsidR="006B1A15" w:rsidRPr="006B1A15" w:rsidRDefault="006B1A15" w:rsidP="006B1A15">
      <w:pPr>
        <w:rPr>
          <w:lang w:val="en-US"/>
        </w:rPr>
      </w:pPr>
      <w:r w:rsidRPr="006B1A15">
        <w:rPr>
          <w:lang w:val="en-US"/>
        </w:rPr>
        <w:t>The main features of the reform include:</w:t>
      </w:r>
    </w:p>
    <w:p w14:paraId="53D73C18" w14:textId="77777777" w:rsidR="006B1A15" w:rsidRPr="006B1A15" w:rsidRDefault="006B1A15" w:rsidP="006B1A15">
      <w:pPr>
        <w:numPr>
          <w:ilvl w:val="0"/>
          <w:numId w:val="17"/>
        </w:numPr>
        <w:rPr>
          <w:lang w:val="en-US"/>
        </w:rPr>
      </w:pPr>
      <w:r w:rsidRPr="006B1A15">
        <w:rPr>
          <w:lang w:val="en-US"/>
        </w:rPr>
        <w:t>Clearer allocation of administrative responsibilities, by establishing uniform criteria for identifying the competent authority. The reform confirms the alignment between EIA responsibilities and permitting powers, assigning responsibility to a single administrative authority, providing for the integrated management of complex projects and applying the principle of territorial prevalence to inter-provincial projects.</w:t>
      </w:r>
    </w:p>
    <w:p w14:paraId="032953C4" w14:textId="77777777" w:rsidR="006B1A15" w:rsidRPr="006B1A15" w:rsidRDefault="006B1A15" w:rsidP="006B1A15">
      <w:pPr>
        <w:numPr>
          <w:ilvl w:val="0"/>
          <w:numId w:val="17"/>
        </w:numPr>
        <w:rPr>
          <w:lang w:val="en-US"/>
        </w:rPr>
      </w:pPr>
      <w:r w:rsidRPr="006B1A15">
        <w:rPr>
          <w:lang w:val="en-US"/>
        </w:rPr>
        <w:lastRenderedPageBreak/>
        <w:t>Simplification of EIA screening procedures, while maintaining coordination with Appropriate Assessment (AA) procedures and Strategic Environmental Assessment (SEA) procedures.</w:t>
      </w:r>
    </w:p>
    <w:p w14:paraId="637F4105" w14:textId="77777777" w:rsidR="006B1A15" w:rsidRPr="006B1A15" w:rsidRDefault="006B1A15" w:rsidP="006B1A15">
      <w:pPr>
        <w:numPr>
          <w:ilvl w:val="0"/>
          <w:numId w:val="17"/>
        </w:numPr>
        <w:rPr>
          <w:lang w:val="en-US"/>
        </w:rPr>
      </w:pPr>
      <w:r w:rsidRPr="006B1A15">
        <w:rPr>
          <w:lang w:val="en-US"/>
        </w:rPr>
        <w:t>Confirmation and enhancement of the regional S.I.L.V.I.A. portal as the single platform for transparency, monitoring, and public participation by citizens and public authorities.</w:t>
      </w:r>
    </w:p>
    <w:p w14:paraId="23EE4D37" w14:textId="77777777" w:rsidR="006B1A15" w:rsidRPr="006B1A15" w:rsidRDefault="006B1A15" w:rsidP="006B1A15">
      <w:pPr>
        <w:numPr>
          <w:ilvl w:val="0"/>
          <w:numId w:val="17"/>
        </w:numPr>
        <w:rPr>
          <w:lang w:val="en-US"/>
        </w:rPr>
      </w:pPr>
      <w:r w:rsidRPr="006B1A15">
        <w:rPr>
          <w:lang w:val="en-US"/>
        </w:rPr>
        <w:t>The possibility of establishing Environmental Monitoring Committees, including at provincial level, to verify compliance with the environmental conditions attached to EIA decisions and EIA screening decisions. Revenues deriving from administrative penalties and procedural fees will be allocated to monitoring and enforcement activities.</w:t>
      </w:r>
    </w:p>
    <w:p w14:paraId="5F124AE1" w14:textId="6BB0E7D8" w:rsidR="00F67D86" w:rsidRPr="00F67D86" w:rsidRDefault="006B1A15" w:rsidP="00F67D86">
      <w:pPr>
        <w:numPr>
          <w:ilvl w:val="0"/>
          <w:numId w:val="17"/>
        </w:numPr>
        <w:rPr>
          <w:lang w:val="en-US"/>
        </w:rPr>
      </w:pPr>
      <w:r w:rsidRPr="006B1A15">
        <w:rPr>
          <w:lang w:val="en-US"/>
        </w:rPr>
        <w:t>Transitional provisions, under which the previous legal framework will continue to apply to proceedings already commenced, while the new law will apply to applications submitted after its entry into force.</w:t>
      </w:r>
    </w:p>
    <w:p w14:paraId="536B84DD" w14:textId="77777777" w:rsidR="00F67D86" w:rsidRDefault="00F67D86" w:rsidP="00F67D86">
      <w:pPr>
        <w:pStyle w:val="SI-Titolo-11Level2"/>
      </w:pPr>
      <w:bookmarkStart w:id="17" w:name="_Toc244267113"/>
      <w:r w:rsidRPr="00616575">
        <w:t xml:space="preserve">“Park Towers” Case: Court of Auditors </w:t>
      </w:r>
      <w:r>
        <w:t>e</w:t>
      </w:r>
      <w:r w:rsidRPr="00616575">
        <w:t xml:space="preserve">xcludes </w:t>
      </w:r>
      <w:r>
        <w:t>l</w:t>
      </w:r>
      <w:r w:rsidRPr="00616575">
        <w:t xml:space="preserve">iability of </w:t>
      </w:r>
      <w:r>
        <w:t>o</w:t>
      </w:r>
      <w:r w:rsidRPr="00616575">
        <w:t>fficials of the Municipality of Milan</w:t>
      </w:r>
      <w:r>
        <w:t xml:space="preserve"> | </w:t>
      </w:r>
      <w:r w:rsidRPr="00616575">
        <w:rPr>
          <w:i/>
          <w:iCs/>
        </w:rPr>
        <w:t>3 July 2026</w:t>
      </w:r>
      <w:bookmarkEnd w:id="17"/>
    </w:p>
    <w:p w14:paraId="5ED4FF01" w14:textId="77777777" w:rsidR="00F67D86" w:rsidRPr="00F03B37" w:rsidRDefault="00F67D86" w:rsidP="00F67D86">
      <w:r w:rsidRPr="00F03B37">
        <w:rPr>
          <w:lang w:val="en-US"/>
        </w:rPr>
        <w:t xml:space="preserve">By Judgment </w:t>
      </w:r>
      <w:r>
        <w:rPr>
          <w:lang w:val="en-US"/>
        </w:rPr>
        <w:t>n</w:t>
      </w:r>
      <w:r w:rsidRPr="00F03B37">
        <w:rPr>
          <w:lang w:val="en-US"/>
        </w:rPr>
        <w:t>o. 106/2026, the Court of Auditors – Jurisdictional Section for Lombardy ruled on one of the most significant urban regeneration cases of recent years, excluding the administrative liability of certain officials of the Municipality of Milan involved in the criminal proceedings relating to the Park Towers development.</w:t>
      </w:r>
    </w:p>
    <w:p w14:paraId="2C47B8B5" w14:textId="77777777" w:rsidR="00F67D86" w:rsidRPr="00F03B37" w:rsidRDefault="00F67D86" w:rsidP="00F67D86">
      <w:pPr>
        <w:rPr>
          <w:lang w:val="en-US"/>
        </w:rPr>
      </w:pPr>
      <w:r w:rsidRPr="00F03B37">
        <w:rPr>
          <w:lang w:val="en-US"/>
        </w:rPr>
        <w:t>The Public Prosecutor before the Court of Auditors alleged that the officials had incorrectly classified part of the project as building refurbishment through demolition and reconstruction, rather than as new construction, thereby resulting—in the Prosecutor’s view—in a lower construction contribution and, consequently, financial loss to the public administration.</w:t>
      </w:r>
    </w:p>
    <w:p w14:paraId="5685CE72" w14:textId="77777777" w:rsidR="00F67D86" w:rsidRPr="00F03B37" w:rsidRDefault="00F67D86" w:rsidP="00F67D86">
      <w:pPr>
        <w:rPr>
          <w:lang w:val="en-US"/>
        </w:rPr>
      </w:pPr>
      <w:r w:rsidRPr="00F03B37">
        <w:rPr>
          <w:lang w:val="en-US"/>
        </w:rPr>
        <w:t>The judgment comes at a time of increasing scrutiny over the proper scope of administrative liability and represents a significant reassurance for the activity of public authorities.</w:t>
      </w:r>
    </w:p>
    <w:p w14:paraId="664DCB52" w14:textId="77777777" w:rsidR="00F67D86" w:rsidRPr="00F03B37" w:rsidRDefault="00F67D86" w:rsidP="00F67D86">
      <w:pPr>
        <w:rPr>
          <w:lang w:val="en-US"/>
        </w:rPr>
      </w:pPr>
      <w:r w:rsidRPr="00F03B37">
        <w:rPr>
          <w:lang w:val="en-US"/>
        </w:rPr>
        <w:t>On the merits, the Court dismissed the claim on the grounds that gross negligence had not been established, placing particular emphasis on the complexity of the applicable legislative and case law framework.</w:t>
      </w:r>
    </w:p>
    <w:p w14:paraId="517DF5CF" w14:textId="77777777" w:rsidR="00F67D86" w:rsidRPr="00F03B37" w:rsidRDefault="00F67D86" w:rsidP="00F67D86">
      <w:pPr>
        <w:rPr>
          <w:lang w:val="en-US"/>
        </w:rPr>
      </w:pPr>
      <w:r w:rsidRPr="00F03B37">
        <w:rPr>
          <w:lang w:val="en-US"/>
        </w:rPr>
        <w:t>Particularly noteworthy is the section in which the Court addresses the debate concerning the concept of building renovation.</w:t>
      </w:r>
    </w:p>
    <w:p w14:paraId="684BEB0D" w14:textId="77777777" w:rsidR="00F67D86" w:rsidRPr="00F03B37" w:rsidRDefault="00F67D86" w:rsidP="00F67D86">
      <w:pPr>
        <w:rPr>
          <w:lang w:val="en-US"/>
        </w:rPr>
      </w:pPr>
      <w:r w:rsidRPr="00F03B37">
        <w:rPr>
          <w:lang w:val="en-US"/>
        </w:rPr>
        <w:t>While referring to the line of case law according to which demolition and reconstruction should maintain a substantive connection with the pre-existing building, the Court held that gross negligence cannot be inferred merely from adherence to a particular judicial interpretation, especially where such interpretation is not unequivocally supported by the wording of Article 3 of</w:t>
      </w:r>
      <w:r>
        <w:rPr>
          <w:lang w:val="en-US"/>
        </w:rPr>
        <w:t xml:space="preserve"> </w:t>
      </w:r>
      <w:r w:rsidRPr="00F03B37">
        <w:rPr>
          <w:lang w:val="en-US"/>
        </w:rPr>
        <w:t xml:space="preserve">Presidential Decree </w:t>
      </w:r>
      <w:r>
        <w:rPr>
          <w:lang w:val="en-US"/>
        </w:rPr>
        <w:t>n</w:t>
      </w:r>
      <w:r w:rsidRPr="00F03B37">
        <w:rPr>
          <w:lang w:val="en-US"/>
        </w:rPr>
        <w:t>o. 380/2001 and is contradicted by other judicial authorities adopting different interpretative approaches.</w:t>
      </w:r>
    </w:p>
    <w:p w14:paraId="43853E4B" w14:textId="77777777" w:rsidR="00F67D86" w:rsidRPr="00F03B37" w:rsidRDefault="00F67D86" w:rsidP="00F67D86">
      <w:pPr>
        <w:rPr>
          <w:lang w:val="en-US"/>
        </w:rPr>
      </w:pPr>
      <w:r w:rsidRPr="00F03B37">
        <w:rPr>
          <w:lang w:val="en-US"/>
        </w:rPr>
        <w:t xml:space="preserve">In this background, the judgment reflects a principle of particular importance for public authorities: where the applicable legislative framework is not unequivocal and different judicial </w:t>
      </w:r>
      <w:r w:rsidRPr="00F03B37">
        <w:rPr>
          <w:lang w:val="en-US"/>
        </w:rPr>
        <w:lastRenderedPageBreak/>
        <w:t>interpretations coexist, the adoption of a reasonably sustainable interpretation cannot give rise to liability for damage to the public finances.</w:t>
      </w:r>
    </w:p>
    <w:p w14:paraId="69B3A4A7" w14:textId="77777777" w:rsidR="00F67D86" w:rsidRPr="00F03B37" w:rsidRDefault="00F67D86" w:rsidP="00F67D86">
      <w:pPr>
        <w:rPr>
          <w:lang w:val="en-US"/>
        </w:rPr>
      </w:pPr>
      <w:r w:rsidRPr="00F03B37">
        <w:rPr>
          <w:lang w:val="en-US"/>
        </w:rPr>
        <w:t>The judgment therefore outlines a more clearly defined balance between the need for public oversight and the protection of administrative action, particularly in sectors such as urban planning, which are characterized by continuous legislative and technical developments.</w:t>
      </w:r>
    </w:p>
    <w:p w14:paraId="5719807A" w14:textId="77777777" w:rsidR="00E027D9" w:rsidRDefault="003A01FB" w:rsidP="003A01FB">
      <w:pPr>
        <w:pStyle w:val="SI-Titolo-1Level1"/>
      </w:pPr>
      <w:bookmarkStart w:id="18" w:name="_Toc244267114"/>
      <w:r>
        <w:t>Litigation</w:t>
      </w:r>
      <w:bookmarkEnd w:id="18"/>
    </w:p>
    <w:p w14:paraId="59BECD1D" w14:textId="72D4A688" w:rsidR="005D3467" w:rsidRPr="00F54B6B" w:rsidRDefault="00F54B6B" w:rsidP="005D3467">
      <w:pPr>
        <w:pStyle w:val="SI-Titolo-11Level2"/>
        <w:rPr>
          <w:i/>
          <w:iCs/>
          <w:lang w:val="en-US"/>
        </w:rPr>
      </w:pPr>
      <w:bookmarkStart w:id="19" w:name="_Toc244267115"/>
      <w:r w:rsidRPr="00F54B6B">
        <w:t xml:space="preserve">Real Estate Transactions, </w:t>
      </w:r>
      <w:r w:rsidR="00124237">
        <w:t>p</w:t>
      </w:r>
      <w:r w:rsidRPr="00F54B6B">
        <w:t xml:space="preserve">lanning </w:t>
      </w:r>
      <w:r w:rsidR="00124237">
        <w:t>r</w:t>
      </w:r>
      <w:r w:rsidRPr="00F54B6B">
        <w:t xml:space="preserve">estrictions and </w:t>
      </w:r>
      <w:r w:rsidR="00124237">
        <w:t>f</w:t>
      </w:r>
      <w:r w:rsidRPr="00F54B6B">
        <w:t xml:space="preserve">ailure to </w:t>
      </w:r>
      <w:r w:rsidR="00124237">
        <w:t>d</w:t>
      </w:r>
      <w:r w:rsidRPr="00F54B6B">
        <w:t xml:space="preserve">isclose in the </w:t>
      </w:r>
      <w:r w:rsidR="00124237">
        <w:t>p</w:t>
      </w:r>
      <w:r w:rsidRPr="00F54B6B">
        <w:t xml:space="preserve">reliminary </w:t>
      </w:r>
      <w:r w:rsidR="00124237">
        <w:t>s</w:t>
      </w:r>
      <w:r w:rsidRPr="00F54B6B">
        <w:t xml:space="preserve">ale </w:t>
      </w:r>
      <w:r w:rsidR="00124237">
        <w:t>and purchase a</w:t>
      </w:r>
      <w:r w:rsidRPr="00F54B6B">
        <w:t xml:space="preserve">greement: </w:t>
      </w:r>
      <w:r w:rsidR="00124237">
        <w:t>l</w:t>
      </w:r>
      <w:r w:rsidRPr="00F54B6B">
        <w:t xml:space="preserve">iability of the </w:t>
      </w:r>
      <w:r w:rsidR="00124237">
        <w:t>s</w:t>
      </w:r>
      <w:r w:rsidRPr="00F54B6B">
        <w:t xml:space="preserve">eller </w:t>
      </w:r>
      <w:r w:rsidR="00124237">
        <w:t>|</w:t>
      </w:r>
      <w:r w:rsidRPr="00F54B6B">
        <w:t xml:space="preserve"> </w:t>
      </w:r>
      <w:r w:rsidRPr="00F54B6B">
        <w:rPr>
          <w:i/>
          <w:iCs/>
        </w:rPr>
        <w:t>September 2026</w:t>
      </w:r>
      <w:bookmarkEnd w:id="19"/>
    </w:p>
    <w:p w14:paraId="7BFE9AAC" w14:textId="044FA015" w:rsidR="00F54B6B" w:rsidRPr="00F54B6B" w:rsidRDefault="00F54B6B" w:rsidP="00F54B6B">
      <w:pPr>
        <w:rPr>
          <w:lang w:val="en-US"/>
        </w:rPr>
      </w:pPr>
      <w:r w:rsidRPr="00F54B6B">
        <w:rPr>
          <w:lang w:val="en-US"/>
        </w:rPr>
        <w:t xml:space="preserve">In Judgment </w:t>
      </w:r>
      <w:r w:rsidR="00124237">
        <w:rPr>
          <w:lang w:val="en-US"/>
        </w:rPr>
        <w:t>n</w:t>
      </w:r>
      <w:r w:rsidRPr="00F54B6B">
        <w:rPr>
          <w:lang w:val="en-US"/>
        </w:rPr>
        <w:t xml:space="preserve">o. 1381 of 5 May 2026, the Court of Appeal of Milan, Fourth Division, revisited the issue of the seller's liability for failing to disclose, in a preliminary sale </w:t>
      </w:r>
      <w:r w:rsidR="00124237">
        <w:rPr>
          <w:lang w:val="en-US"/>
        </w:rPr>
        <w:t xml:space="preserve">and purchase </w:t>
      </w:r>
      <w:r w:rsidRPr="00F54B6B">
        <w:rPr>
          <w:lang w:val="en-US"/>
        </w:rPr>
        <w:t>agreement, restrictions affecting the property to be sold. The dispute concerned, in particular, landscape protection restrictions.</w:t>
      </w:r>
    </w:p>
    <w:p w14:paraId="7180C5DF" w14:textId="77777777" w:rsidR="00F54B6B" w:rsidRPr="00F54B6B" w:rsidRDefault="00F54B6B" w:rsidP="00F54B6B">
      <w:pPr>
        <w:rPr>
          <w:lang w:val="en-US"/>
        </w:rPr>
      </w:pPr>
      <w:r w:rsidRPr="00F54B6B">
        <w:rPr>
          <w:lang w:val="en-US"/>
        </w:rPr>
        <w:t>The decision follows established case law which, for the purposes of applying Article 1489 of the Italian Civil Code, distinguishes between restrictions of a general nature and specific restrictions imposed on individual properties.</w:t>
      </w:r>
    </w:p>
    <w:p w14:paraId="7433F2EC" w14:textId="77777777" w:rsidR="00F54B6B" w:rsidRPr="00F54B6B" w:rsidRDefault="00F54B6B" w:rsidP="00F54B6B">
      <w:pPr>
        <w:rPr>
          <w:lang w:val="en-US"/>
        </w:rPr>
      </w:pPr>
      <w:r w:rsidRPr="00F54B6B">
        <w:rPr>
          <w:lang w:val="en-US"/>
        </w:rPr>
        <w:t xml:space="preserve">Article 1489 of the Italian Civil Code protects purchasers where a property is subject to non-apparent encumbrances or rights </w:t>
      </w:r>
      <w:r w:rsidRPr="00124237">
        <w:rPr>
          <w:i/>
          <w:iCs/>
          <w:lang w:val="en-US"/>
        </w:rPr>
        <w:t>in rem</w:t>
      </w:r>
      <w:r w:rsidRPr="00F54B6B">
        <w:rPr>
          <w:lang w:val="en-US"/>
        </w:rPr>
        <w:t xml:space="preserve"> or personal rights that have not been disclosed in the agreement and of which the purchaser was unaware, and which limit the purchaser's free enjoyment of the property. Where these conditions are met, the purchaser is entitled to seek termination of the agreement or a reduction in the purchase price.</w:t>
      </w:r>
    </w:p>
    <w:p w14:paraId="07FB2BC4" w14:textId="77777777" w:rsidR="00F54B6B" w:rsidRPr="00F54B6B" w:rsidRDefault="00F54B6B" w:rsidP="00F54B6B">
      <w:pPr>
        <w:rPr>
          <w:lang w:val="en-US"/>
        </w:rPr>
      </w:pPr>
      <w:r w:rsidRPr="00F54B6B">
        <w:rPr>
          <w:lang w:val="en-US"/>
        </w:rPr>
        <w:t>The distinction between general and specific restrictions is therefore crucial in determining whether restrictions affecting a property may qualify as non-apparent encumbrances and, consequently, whether the failure to disclose them may give rise to liability on the part of the seller.</w:t>
      </w:r>
    </w:p>
    <w:p w14:paraId="49CAC48F" w14:textId="7549C018" w:rsidR="00F54B6B" w:rsidRPr="00F54B6B" w:rsidRDefault="00F54B6B" w:rsidP="00F54B6B">
      <w:pPr>
        <w:rPr>
          <w:lang w:val="en-US"/>
        </w:rPr>
      </w:pPr>
      <w:r w:rsidRPr="00F54B6B">
        <w:rPr>
          <w:lang w:val="en-US"/>
        </w:rPr>
        <w:t xml:space="preserve">General restrictions arise from statutory provisions or territorial and urban planning instruments. As they derive from duly approved and published provisions of general application, which are effective </w:t>
      </w:r>
      <w:r w:rsidRPr="00F54B6B">
        <w:rPr>
          <w:i/>
          <w:iCs/>
          <w:lang w:val="en-US"/>
        </w:rPr>
        <w:t>erga omnes</w:t>
      </w:r>
      <w:r w:rsidRPr="00F54B6B">
        <w:rPr>
          <w:lang w:val="en-US"/>
        </w:rPr>
        <w:t xml:space="preserve">, they are subject to a legal presumption of knowledge. Accordingly, such restrictions cannot be classified as non-apparent encumbrances within the meaning of Article 1489 of the Italian Civil Code, and their omission from the preliminary sale agreement does not, </w:t>
      </w:r>
      <w:r w:rsidR="00253165" w:rsidRPr="00253165">
        <w:rPr>
          <w:i/>
          <w:iCs/>
          <w:lang w:val="en-US"/>
        </w:rPr>
        <w:t>per se</w:t>
      </w:r>
      <w:r w:rsidRPr="00F54B6B">
        <w:rPr>
          <w:lang w:val="en-US"/>
        </w:rPr>
        <w:t>, give rise to liability on the part of the seller.</w:t>
      </w:r>
    </w:p>
    <w:p w14:paraId="02E3914C" w14:textId="77777777" w:rsidR="00F54B6B" w:rsidRPr="00F54B6B" w:rsidRDefault="00F54B6B" w:rsidP="00F54B6B">
      <w:pPr>
        <w:rPr>
          <w:lang w:val="en-US"/>
        </w:rPr>
      </w:pPr>
      <w:r w:rsidRPr="00F54B6B">
        <w:rPr>
          <w:lang w:val="en-US"/>
        </w:rPr>
        <w:t>By contrast, specific restrictions do not arise from the general regulatory framework applicable to a particular area or category of properties, but rather from specific administrative measures affecting an individual property. These restrictions are not subject to the same presumption of knowledge and may therefore constitute non-apparent encumbrances within the meaning of Article 1489 of the Italian Civil Code, provided that they were not disclosed in the agreement, were unknown to the purchaser and limit the free enjoyment of the property.</w:t>
      </w:r>
    </w:p>
    <w:p w14:paraId="6F49C0F0" w14:textId="0A106D3A" w:rsidR="00F54B6B" w:rsidRPr="00F54B6B" w:rsidRDefault="00F54B6B" w:rsidP="00F54B6B">
      <w:pPr>
        <w:rPr>
          <w:lang w:val="en-US"/>
        </w:rPr>
      </w:pPr>
      <w:r w:rsidRPr="00F54B6B">
        <w:rPr>
          <w:lang w:val="en-US"/>
        </w:rPr>
        <w:lastRenderedPageBreak/>
        <w:t xml:space="preserve">In this regard, the Court refers to Judgment </w:t>
      </w:r>
      <w:r w:rsidR="00124237">
        <w:rPr>
          <w:lang w:val="en-US"/>
        </w:rPr>
        <w:t>n</w:t>
      </w:r>
      <w:r w:rsidRPr="00F54B6B">
        <w:rPr>
          <w:lang w:val="en-US"/>
        </w:rPr>
        <w:t>o. 1441 of 15 January 2024 of the Italian Supreme Court, Second Civil Division, which distinguishes between provisions contained in general urban planning instruments and restrictions "introduced by specific administrative measures of an individual nature, affecting a particular property".</w:t>
      </w:r>
    </w:p>
    <w:p w14:paraId="7B7B9718" w14:textId="77777777" w:rsidR="00F54B6B" w:rsidRPr="00F54B6B" w:rsidRDefault="00F54B6B" w:rsidP="00F54B6B">
      <w:pPr>
        <w:rPr>
          <w:lang w:val="en-US"/>
        </w:rPr>
      </w:pPr>
      <w:r w:rsidRPr="00F54B6B">
        <w:rPr>
          <w:lang w:val="en-US"/>
        </w:rPr>
        <w:t xml:space="preserve">The principle emerging from the decision is therefore that, for the purposes of determining the seller's liability under Article 1489 of the Italian Civil Code, the source of the restriction is decisive. Where a restriction arises from a published provision of general application, effective </w:t>
      </w:r>
      <w:r w:rsidRPr="00F54B6B">
        <w:rPr>
          <w:i/>
          <w:iCs/>
          <w:lang w:val="en-US"/>
        </w:rPr>
        <w:t>erga omnes</w:t>
      </w:r>
      <w:r w:rsidRPr="00F54B6B">
        <w:rPr>
          <w:lang w:val="en-US"/>
        </w:rPr>
        <w:t>, the legal presumption of knowledge applies and, as a general rule, the seller is not required to disclose it. Conversely, where a restriction derives from a specific administrative measure affecting the property being sold, it may qualify as a non-apparent encumbrance under Article 1489 of the Italian Civil Code, provided that the other statutory requirements are also satisfied.</w:t>
      </w:r>
    </w:p>
    <w:p w14:paraId="774DA68C" w14:textId="4F6077D1" w:rsidR="005D3467" w:rsidRDefault="005D3467" w:rsidP="005D3467">
      <w:pPr>
        <w:rPr>
          <w:lang w:val="en-US"/>
        </w:rPr>
      </w:pPr>
    </w:p>
    <w:p w14:paraId="00A3FC2E" w14:textId="77777777" w:rsidR="005D3467" w:rsidRPr="005D3467" w:rsidRDefault="005D3467" w:rsidP="00EC1075">
      <w:pPr>
        <w:rPr>
          <w:lang w:val="en-US"/>
        </w:rPr>
      </w:pPr>
    </w:p>
    <w:p w14:paraId="4E4F49E6" w14:textId="3175DA15" w:rsidR="00C12055" w:rsidRPr="000B57ED" w:rsidRDefault="00C12055" w:rsidP="00C12055"/>
    <w:p w14:paraId="5E22334D" w14:textId="649D7A6A" w:rsidR="0009763F" w:rsidRPr="000B57ED" w:rsidRDefault="0009763F" w:rsidP="000B57ED"/>
    <w:sectPr w:rsidR="0009763F" w:rsidRPr="000B57ED" w:rsidSect="00464D65">
      <w:headerReference w:type="first" r:id="rId22"/>
      <w:footerReference w:type="first" r:id="rId23"/>
      <w:pgSz w:w="11906" w:h="16838"/>
      <w:pgMar w:top="1843" w:right="1134" w:bottom="1134" w:left="1134" w:header="851" w:footer="2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9474A" w14:textId="77777777" w:rsidR="0037122B" w:rsidRPr="00137FF2" w:rsidRDefault="0037122B" w:rsidP="005A025A">
      <w:r w:rsidRPr="00137FF2">
        <w:separator/>
      </w:r>
    </w:p>
  </w:endnote>
  <w:endnote w:type="continuationSeparator" w:id="0">
    <w:p w14:paraId="6DFD25D9" w14:textId="77777777" w:rsidR="0037122B" w:rsidRPr="00137FF2" w:rsidRDefault="0037122B" w:rsidP="005A025A">
      <w:r w:rsidRPr="00137F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1" w:fontKey="{D161E665-7EFF-4D83-93FA-A1C63F63391D}"/>
    <w:embedBold r:id="rId2" w:fontKey="{F244B04D-1B25-4700-BAD4-6E63B110873C}"/>
    <w:embedItalic r:id="rId3" w:fontKey="{882F10BD-0126-46D2-B5C4-A59949279500}"/>
    <w:embedBoldItalic r:id="rId4" w:fontKey="{A1483A3F-E905-4E57-BD0E-AAFCE1FD19FB}"/>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Corpo CS)">
    <w:altName w:val="Times New Roman"/>
    <w:charset w:val="00"/>
    <w:family w:val="roman"/>
    <w:pitch w:val="default"/>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rPr>
      <w:id w:val="160816739"/>
      <w:docPartObj>
        <w:docPartGallery w:val="Page Numbers (Bottom of Page)"/>
        <w:docPartUnique/>
      </w:docPartObj>
    </w:sdtPr>
    <w:sdtEndPr>
      <w:rPr>
        <w:b w:val="0"/>
        <w:bCs w:val="0"/>
        <w:color w:val="AE8C63"/>
      </w:rPr>
    </w:sdtEndPr>
    <w:sdtContent>
      <w:p w14:paraId="306BA5DE" w14:textId="77777777" w:rsidR="00BB6FAE" w:rsidRPr="003A01FB" w:rsidRDefault="00F34D63" w:rsidP="003A01FB">
        <w:pPr>
          <w:jc w:val="right"/>
          <w:rPr>
            <w:color w:val="AE8C63"/>
          </w:rPr>
        </w:pPr>
        <w:r w:rsidRPr="003A01FB">
          <w:rPr>
            <w:color w:val="AE8C63"/>
          </w:rPr>
          <w:fldChar w:fldCharType="begin"/>
        </w:r>
        <w:r w:rsidRPr="003A01FB">
          <w:rPr>
            <w:color w:val="AE8C63"/>
          </w:rPr>
          <w:instrText>PAGE   \* MERGEFORMAT</w:instrText>
        </w:r>
        <w:r w:rsidRPr="003A01FB">
          <w:rPr>
            <w:color w:val="AE8C63"/>
          </w:rPr>
          <w:fldChar w:fldCharType="separate"/>
        </w:r>
        <w:r w:rsidRPr="003A01FB">
          <w:rPr>
            <w:color w:val="AE8C63"/>
          </w:rPr>
          <w:t>2</w:t>
        </w:r>
        <w:r w:rsidRPr="003A01FB">
          <w:rPr>
            <w:color w:val="AE8C63"/>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3122876"/>
      <w:docPartObj>
        <w:docPartGallery w:val="Page Numbers (Bottom of Page)"/>
        <w:docPartUnique/>
      </w:docPartObj>
    </w:sdtPr>
    <w:sdtEndPr>
      <w:rPr>
        <w:color w:val="AE8C63"/>
      </w:rPr>
    </w:sdtEndPr>
    <w:sdtContent>
      <w:p w14:paraId="6928FCEB" w14:textId="77777777" w:rsidR="00B57888" w:rsidRPr="00B57888" w:rsidRDefault="00B57888">
        <w:pPr>
          <w:pStyle w:val="Pidipagina"/>
          <w:jc w:val="right"/>
          <w:rPr>
            <w:color w:val="AE8C63"/>
          </w:rPr>
        </w:pPr>
        <w:r w:rsidRPr="00B57888">
          <w:rPr>
            <w:color w:val="AE8C63"/>
          </w:rPr>
          <w:fldChar w:fldCharType="begin"/>
        </w:r>
        <w:r w:rsidRPr="00B57888">
          <w:rPr>
            <w:color w:val="AE8C63"/>
          </w:rPr>
          <w:instrText>PAGE   \* MERGEFORMAT</w:instrText>
        </w:r>
        <w:r w:rsidRPr="00B57888">
          <w:rPr>
            <w:color w:val="AE8C63"/>
          </w:rPr>
          <w:fldChar w:fldCharType="separate"/>
        </w:r>
        <w:r w:rsidRPr="00B57888">
          <w:rPr>
            <w:color w:val="AE8C63"/>
            <w:lang w:val="it-IT"/>
          </w:rPr>
          <w:t>2</w:t>
        </w:r>
        <w:r w:rsidRPr="00B57888">
          <w:rPr>
            <w:color w:val="AE8C63"/>
          </w:rPr>
          <w:fldChar w:fldCharType="end"/>
        </w:r>
      </w:p>
    </w:sdtContent>
  </w:sdt>
  <w:p w14:paraId="647BC166" w14:textId="77777777" w:rsidR="00B57888" w:rsidRDefault="00B5788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4583718"/>
      <w:docPartObj>
        <w:docPartGallery w:val="Page Numbers (Bottom of Page)"/>
        <w:docPartUnique/>
      </w:docPartObj>
    </w:sdtPr>
    <w:sdtEndPr>
      <w:rPr>
        <w:color w:val="AE8C63"/>
      </w:rPr>
    </w:sdtEndPr>
    <w:sdtContent>
      <w:p w14:paraId="7B56F1AA" w14:textId="77777777" w:rsidR="00ED5C14" w:rsidRPr="00B57888" w:rsidRDefault="00ED5C14">
        <w:pPr>
          <w:pStyle w:val="Pidipagina"/>
          <w:jc w:val="right"/>
          <w:rPr>
            <w:color w:val="AE8C63"/>
          </w:rPr>
        </w:pPr>
        <w:r w:rsidRPr="00B57888">
          <w:rPr>
            <w:color w:val="AE8C63"/>
          </w:rPr>
          <w:fldChar w:fldCharType="begin"/>
        </w:r>
        <w:r w:rsidRPr="00B57888">
          <w:rPr>
            <w:color w:val="AE8C63"/>
          </w:rPr>
          <w:instrText>PAGE   \* MERGEFORMAT</w:instrText>
        </w:r>
        <w:r w:rsidRPr="00B57888">
          <w:rPr>
            <w:color w:val="AE8C63"/>
          </w:rPr>
          <w:fldChar w:fldCharType="separate"/>
        </w:r>
        <w:r w:rsidRPr="00B57888">
          <w:rPr>
            <w:color w:val="AE8C63"/>
            <w:lang w:val="it-IT"/>
          </w:rPr>
          <w:t>2</w:t>
        </w:r>
        <w:r w:rsidRPr="00B57888">
          <w:rPr>
            <w:color w:val="AE8C63"/>
          </w:rPr>
          <w:fldChar w:fldCharType="end"/>
        </w:r>
      </w:p>
    </w:sdtContent>
  </w:sdt>
  <w:p w14:paraId="5181F5F3" w14:textId="77777777" w:rsidR="00ED5C14" w:rsidRDefault="00ED5C1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1DAD3" w14:textId="77777777" w:rsidR="0037122B" w:rsidRPr="00137FF2" w:rsidRDefault="0037122B" w:rsidP="005A025A">
      <w:r w:rsidRPr="00137FF2">
        <w:separator/>
      </w:r>
    </w:p>
  </w:footnote>
  <w:footnote w:type="continuationSeparator" w:id="0">
    <w:p w14:paraId="693899A8" w14:textId="77777777" w:rsidR="0037122B" w:rsidRPr="00137FF2" w:rsidRDefault="0037122B" w:rsidP="005A025A">
      <w:r w:rsidRPr="00137FF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573B6" w14:textId="77777777" w:rsidR="00F85BBF" w:rsidRPr="00B57888" w:rsidRDefault="00B57888" w:rsidP="00B57888">
    <w:r w:rsidRPr="00440679">
      <w:rPr>
        <w:noProof/>
      </w:rPr>
      <w:drawing>
        <wp:anchor distT="0" distB="0" distL="114300" distR="114300" simplePos="0" relativeHeight="251653120" behindDoc="0" locked="0" layoutInCell="1" allowOverlap="1" wp14:anchorId="4F688B4E" wp14:editId="78B5202D">
          <wp:simplePos x="0" y="0"/>
          <wp:positionH relativeFrom="page">
            <wp:posOffset>-206</wp:posOffset>
          </wp:positionH>
          <wp:positionV relativeFrom="paragraph">
            <wp:posOffset>-535940</wp:posOffset>
          </wp:positionV>
          <wp:extent cx="7556050" cy="10680063"/>
          <wp:effectExtent l="0" t="0" r="6985" b="7620"/>
          <wp:wrapNone/>
          <wp:docPr id="1027021154" name="Immagine 36" descr="Immagine che contiene testo, schermata, edificio, 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533416" name="Immagine 36" descr="Immagine che contiene testo, schermata, edificio, design"/>
                  <pic:cNvPicPr/>
                </pic:nvPicPr>
                <pic:blipFill>
                  <a:blip r:embed="rId1">
                    <a:extLst>
                      <a:ext uri="{28A0092B-C50C-407E-A947-70E740481C1C}">
                        <a14:useLocalDpi xmlns:a14="http://schemas.microsoft.com/office/drawing/2010/main" val="0"/>
                      </a:ext>
                    </a:extLst>
                  </a:blip>
                  <a:stretch>
                    <a:fillRect/>
                  </a:stretch>
                </pic:blipFill>
                <pic:spPr>
                  <a:xfrm>
                    <a:off x="0" y="0"/>
                    <a:ext cx="7556050" cy="10680063"/>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7A376" w14:textId="01450EE7" w:rsidR="00833DE4" w:rsidRPr="004D27E3" w:rsidRDefault="00A37DB3" w:rsidP="004D27E3">
    <w:pPr>
      <w:ind w:right="-1"/>
      <w:jc w:val="right"/>
      <w:rPr>
        <w:rFonts w:cs="Lucida Sans Unicode"/>
        <w:color w:val="AF8C64"/>
        <w:lang w:val="en-US"/>
      </w:rPr>
    </w:pPr>
    <w:r>
      <w:rPr>
        <w:b/>
        <w:bCs/>
        <w:noProof/>
        <w:color w:val="01676E"/>
        <w:sz w:val="32"/>
        <w:szCs w:val="32"/>
      </w:rPr>
      <w:drawing>
        <wp:anchor distT="0" distB="0" distL="114300" distR="114300" simplePos="0" relativeHeight="251666432" behindDoc="0" locked="0" layoutInCell="1" allowOverlap="1" wp14:anchorId="57A04D51" wp14:editId="3BC2F6B7">
          <wp:simplePos x="0" y="0"/>
          <wp:positionH relativeFrom="margin">
            <wp:posOffset>0</wp:posOffset>
          </wp:positionH>
          <wp:positionV relativeFrom="paragraph">
            <wp:posOffset>10160</wp:posOffset>
          </wp:positionV>
          <wp:extent cx="461645" cy="461645"/>
          <wp:effectExtent l="0" t="0" r="0" b="0"/>
          <wp:wrapNone/>
          <wp:docPr id="47421530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619709" name="Immagine 1"/>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461645" cy="461645"/>
                  </a:xfrm>
                  <a:prstGeom prst="rect">
                    <a:avLst/>
                  </a:prstGeom>
                </pic:spPr>
              </pic:pic>
            </a:graphicData>
          </a:graphic>
        </wp:anchor>
      </w:drawing>
    </w:r>
    <w:r w:rsidRPr="00985A2C">
      <w:rPr>
        <w:rFonts w:cs="Lucida Sans Unicode"/>
        <w:color w:val="AF8C64"/>
        <w:lang w:val="en-US"/>
      </w:rPr>
      <w:t xml:space="preserve">REAL ESTATE NEWS </w:t>
    </w:r>
    <w:r w:rsidRPr="00985A2C">
      <w:rPr>
        <w:rFonts w:cs="Lucida Sans Unicode"/>
        <w:b/>
        <w:bCs/>
        <w:color w:val="002E5D"/>
        <w:lang w:val="en-US"/>
      </w:rPr>
      <w:t>n</w:t>
    </w:r>
    <w:r>
      <w:rPr>
        <w:rFonts w:cs="Lucida Sans Unicode"/>
        <w:b/>
        <w:bCs/>
        <w:color w:val="002E5D"/>
        <w:lang w:val="en-US"/>
      </w:rPr>
      <w:t>°</w:t>
    </w:r>
    <w:r w:rsidR="00C12055">
      <w:rPr>
        <w:rFonts w:cs="Lucida Sans Unicode"/>
        <w:b/>
        <w:bCs/>
        <w:color w:val="002E5D"/>
        <w:lang w:val="en-US"/>
      </w:rPr>
      <w:t>9</w:t>
    </w:r>
    <w:r w:rsidRPr="00985A2C">
      <w:rPr>
        <w:rFonts w:cs="Lucida Sans Unicode"/>
        <w:b/>
        <w:bCs/>
        <w:color w:val="002E5D"/>
        <w:lang w:val="en-US"/>
      </w:rPr>
      <w:t xml:space="preserve"> </w:t>
    </w:r>
    <w:r w:rsidRPr="00985A2C">
      <w:rPr>
        <w:rFonts w:cs="Lucida Sans Unicode"/>
        <w:color w:val="002E5D"/>
        <w:lang w:val="en-US"/>
      </w:rPr>
      <w:t xml:space="preserve">– </w:t>
    </w:r>
    <w:r w:rsidR="00C12055">
      <w:rPr>
        <w:rFonts w:cs="Lucida Sans Unicode"/>
        <w:color w:val="002E5D"/>
        <w:lang w:val="en-US"/>
      </w:rPr>
      <w:t xml:space="preserve">October </w:t>
    </w:r>
    <w:r w:rsidRPr="00985A2C">
      <w:rPr>
        <w:rFonts w:cs="Lucida Sans Unicode"/>
        <w:color w:val="AF8C62"/>
        <w:lang w:val="en-US"/>
      </w:rPr>
      <w:t>202</w:t>
    </w:r>
    <w:r>
      <w:rPr>
        <w:rFonts w:cs="Lucida Sans Unicode"/>
        <w:color w:val="AF8C62"/>
        <w:lang w:val="en-US"/>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6B902" w14:textId="77777777" w:rsidR="00B57888" w:rsidRPr="00283BAC" w:rsidRDefault="00B57888" w:rsidP="00B57888">
    <w:pPr>
      <w:ind w:right="-1"/>
      <w:jc w:val="right"/>
      <w:rPr>
        <w:rFonts w:cs="Lucida Sans Unicode"/>
        <w:color w:val="AF8C64"/>
        <w:lang w:val="en-US"/>
      </w:rPr>
    </w:pPr>
    <w:r>
      <w:rPr>
        <w:b/>
        <w:bCs/>
        <w:noProof/>
        <w:color w:val="01676E"/>
        <w:sz w:val="32"/>
        <w:szCs w:val="32"/>
      </w:rPr>
      <w:drawing>
        <wp:anchor distT="0" distB="0" distL="114300" distR="114300" simplePos="0" relativeHeight="251661312" behindDoc="0" locked="0" layoutInCell="1" allowOverlap="1" wp14:anchorId="417F9F99" wp14:editId="581A979B">
          <wp:simplePos x="0" y="0"/>
          <wp:positionH relativeFrom="margin">
            <wp:align>left</wp:align>
          </wp:positionH>
          <wp:positionV relativeFrom="paragraph">
            <wp:posOffset>-19636</wp:posOffset>
          </wp:positionV>
          <wp:extent cx="461645" cy="461645"/>
          <wp:effectExtent l="0" t="0" r="0" b="0"/>
          <wp:wrapNone/>
          <wp:docPr id="41798730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619709" name="Immagine 1"/>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461645" cy="461645"/>
                  </a:xfrm>
                  <a:prstGeom prst="rect">
                    <a:avLst/>
                  </a:prstGeom>
                </pic:spPr>
              </pic:pic>
            </a:graphicData>
          </a:graphic>
        </wp:anchor>
      </w:drawing>
    </w:r>
    <w:r w:rsidRPr="00985A2C">
      <w:rPr>
        <w:rFonts w:cs="Lucida Sans Unicode"/>
        <w:color w:val="AF8C64"/>
        <w:lang w:val="en-US"/>
      </w:rPr>
      <w:t xml:space="preserve">REAL ESTATE NEWS </w:t>
    </w:r>
    <w:r w:rsidRPr="00985A2C">
      <w:rPr>
        <w:rFonts w:cs="Lucida Sans Unicode"/>
        <w:b/>
        <w:bCs/>
        <w:color w:val="002E5D"/>
        <w:lang w:val="en-US"/>
      </w:rPr>
      <w:t>n</w:t>
    </w:r>
    <w:r>
      <w:rPr>
        <w:rFonts w:cs="Lucida Sans Unicode"/>
        <w:b/>
        <w:bCs/>
        <w:color w:val="002E5D"/>
        <w:lang w:val="en-US"/>
      </w:rPr>
      <w:t>°1</w:t>
    </w:r>
    <w:r w:rsidRPr="00985A2C">
      <w:rPr>
        <w:rFonts w:cs="Lucida Sans Unicode"/>
        <w:b/>
        <w:bCs/>
        <w:color w:val="002E5D"/>
        <w:lang w:val="en-US"/>
      </w:rPr>
      <w:t xml:space="preserve"> </w:t>
    </w:r>
    <w:r w:rsidRPr="00985A2C">
      <w:rPr>
        <w:rFonts w:cs="Lucida Sans Unicode"/>
        <w:color w:val="002E5D"/>
        <w:lang w:val="en-US"/>
      </w:rPr>
      <w:t xml:space="preserve">– </w:t>
    </w:r>
    <w:r>
      <w:rPr>
        <w:rFonts w:cs="Lucida Sans Unicode"/>
        <w:color w:val="002E5D"/>
        <w:lang w:val="en-US"/>
      </w:rPr>
      <w:t xml:space="preserve">January </w:t>
    </w:r>
    <w:r w:rsidRPr="00985A2C">
      <w:rPr>
        <w:rFonts w:cs="Lucida Sans Unicode"/>
        <w:color w:val="AF8C62"/>
        <w:lang w:val="en-US"/>
      </w:rPr>
      <w:t>202</w:t>
    </w:r>
    <w:r>
      <w:rPr>
        <w:rFonts w:cs="Lucida Sans Unicode"/>
        <w:color w:val="AF8C62"/>
        <w:lang w:val="en-US"/>
      </w:rPr>
      <w:t>5</w:t>
    </w:r>
  </w:p>
  <w:p w14:paraId="54E463CF" w14:textId="77777777" w:rsidR="00B57888" w:rsidRDefault="00B5788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AFEB2" w14:textId="47BEFAC8" w:rsidR="00ED5C14" w:rsidRPr="00944AA9" w:rsidRDefault="00ED5C14" w:rsidP="00944AA9">
    <w:pPr>
      <w:ind w:right="-1"/>
      <w:jc w:val="right"/>
      <w:rPr>
        <w:rFonts w:cs="Lucida Sans Unicode"/>
        <w:color w:val="AF8C64"/>
        <w:lang w:val="en-US"/>
      </w:rPr>
    </w:pPr>
    <w:r>
      <w:rPr>
        <w:b/>
        <w:bCs/>
        <w:noProof/>
        <w:color w:val="01676E"/>
        <w:sz w:val="32"/>
        <w:szCs w:val="32"/>
      </w:rPr>
      <w:drawing>
        <wp:anchor distT="0" distB="0" distL="114300" distR="114300" simplePos="0" relativeHeight="251762176" behindDoc="0" locked="0" layoutInCell="1" allowOverlap="1" wp14:anchorId="0F370C26" wp14:editId="4DD9C46D">
          <wp:simplePos x="0" y="0"/>
          <wp:positionH relativeFrom="margin">
            <wp:align>left</wp:align>
          </wp:positionH>
          <wp:positionV relativeFrom="paragraph">
            <wp:posOffset>-19636</wp:posOffset>
          </wp:positionV>
          <wp:extent cx="461645" cy="461645"/>
          <wp:effectExtent l="0" t="0" r="0" b="0"/>
          <wp:wrapNone/>
          <wp:docPr id="140592450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619709" name="Immagine 1"/>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461645" cy="461645"/>
                  </a:xfrm>
                  <a:prstGeom prst="rect">
                    <a:avLst/>
                  </a:prstGeom>
                </pic:spPr>
              </pic:pic>
            </a:graphicData>
          </a:graphic>
        </wp:anchor>
      </w:drawing>
    </w:r>
    <w:r w:rsidRPr="00985A2C">
      <w:rPr>
        <w:rFonts w:cs="Lucida Sans Unicode"/>
        <w:color w:val="AF8C64"/>
        <w:lang w:val="en-US"/>
      </w:rPr>
      <w:t xml:space="preserve">REAL ESTATE NEWS </w:t>
    </w:r>
    <w:r w:rsidRPr="00985A2C">
      <w:rPr>
        <w:rFonts w:cs="Lucida Sans Unicode"/>
        <w:b/>
        <w:bCs/>
        <w:color w:val="002E5D"/>
        <w:lang w:val="en-US"/>
      </w:rPr>
      <w:t>n</w:t>
    </w:r>
    <w:r>
      <w:rPr>
        <w:rFonts w:cs="Lucida Sans Unicode"/>
        <w:b/>
        <w:bCs/>
        <w:color w:val="002E5D"/>
        <w:lang w:val="en-US"/>
      </w:rPr>
      <w:t>°</w:t>
    </w:r>
    <w:r w:rsidR="00C12055">
      <w:rPr>
        <w:rFonts w:cs="Lucida Sans Unicode"/>
        <w:b/>
        <w:bCs/>
        <w:color w:val="002E5D"/>
        <w:lang w:val="en-US"/>
      </w:rPr>
      <w:t>9</w:t>
    </w:r>
    <w:r w:rsidRPr="00985A2C">
      <w:rPr>
        <w:rFonts w:cs="Lucida Sans Unicode"/>
        <w:b/>
        <w:bCs/>
        <w:color w:val="002E5D"/>
        <w:lang w:val="en-US"/>
      </w:rPr>
      <w:t xml:space="preserve"> </w:t>
    </w:r>
    <w:r w:rsidRPr="00985A2C">
      <w:rPr>
        <w:rFonts w:cs="Lucida Sans Unicode"/>
        <w:color w:val="002E5D"/>
        <w:lang w:val="en-US"/>
      </w:rPr>
      <w:t xml:space="preserve">– </w:t>
    </w:r>
    <w:r w:rsidR="00C12055">
      <w:rPr>
        <w:rFonts w:cs="Lucida Sans Unicode"/>
        <w:color w:val="002E5D"/>
        <w:lang w:val="en-US"/>
      </w:rPr>
      <w:t xml:space="preserve">October </w:t>
    </w:r>
    <w:r w:rsidRPr="00985A2C">
      <w:rPr>
        <w:rFonts w:cs="Lucida Sans Unicode"/>
        <w:color w:val="AF8C62"/>
        <w:lang w:val="en-US"/>
      </w:rPr>
      <w:t>202</w:t>
    </w:r>
    <w:r w:rsidR="003B2F7A">
      <w:rPr>
        <w:rFonts w:cs="Lucida Sans Unicode"/>
        <w:color w:val="AF8C62"/>
        <w:lang w:val="en-US"/>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475A9"/>
    <w:multiLevelType w:val="multilevel"/>
    <w:tmpl w:val="C3F2B58E"/>
    <w:lvl w:ilvl="0">
      <w:start w:val="1"/>
      <w:numFmt w:val="decimal"/>
      <w:pStyle w:val="Titolo1"/>
      <w:lvlText w:val="%1."/>
      <w:lvlJc w:val="left"/>
      <w:pPr>
        <w:ind w:left="5605" w:hanging="360"/>
      </w:pPr>
      <w:rPr>
        <w:b/>
        <w:bCs/>
        <w:i w:val="0"/>
        <w:iCs w:val="0"/>
        <w:caps w:val="0"/>
        <w:smallCaps w:val="0"/>
        <w:strike w:val="0"/>
        <w:dstrike w:val="0"/>
        <w:noProof w:val="0"/>
        <w:vanish w:val="0"/>
        <w:color w:val="002E5D"/>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Titolo2"/>
      <w:lvlText w:val="%1.%2"/>
      <w:lvlJc w:val="left"/>
      <w:pPr>
        <w:ind w:left="5605" w:hanging="360"/>
      </w:pPr>
      <w:rPr>
        <w:color w:val="002E5D"/>
      </w:rPr>
    </w:lvl>
    <w:lvl w:ilvl="2">
      <w:start w:val="1"/>
      <w:numFmt w:val="decimal"/>
      <w:lvlText w:val="%1.%2.%3"/>
      <w:lvlJc w:val="left"/>
      <w:pPr>
        <w:ind w:left="5965" w:hanging="720"/>
      </w:pPr>
    </w:lvl>
    <w:lvl w:ilvl="3">
      <w:start w:val="1"/>
      <w:numFmt w:val="decimal"/>
      <w:lvlText w:val="%1.%2.%3.%4"/>
      <w:lvlJc w:val="left"/>
      <w:pPr>
        <w:ind w:left="5965" w:hanging="720"/>
      </w:pPr>
    </w:lvl>
    <w:lvl w:ilvl="4">
      <w:start w:val="1"/>
      <w:numFmt w:val="decimal"/>
      <w:lvlText w:val="%1.%2.%3.%4.%5"/>
      <w:lvlJc w:val="left"/>
      <w:pPr>
        <w:ind w:left="6325" w:hanging="1080"/>
      </w:pPr>
    </w:lvl>
    <w:lvl w:ilvl="5">
      <w:start w:val="1"/>
      <w:numFmt w:val="decimal"/>
      <w:lvlText w:val="%1.%2.%3.%4.%5.%6"/>
      <w:lvlJc w:val="left"/>
      <w:pPr>
        <w:ind w:left="6685" w:hanging="1440"/>
      </w:pPr>
    </w:lvl>
    <w:lvl w:ilvl="6">
      <w:start w:val="1"/>
      <w:numFmt w:val="decimal"/>
      <w:lvlText w:val="%1.%2.%3.%4.%5.%6.%7"/>
      <w:lvlJc w:val="left"/>
      <w:pPr>
        <w:ind w:left="6685" w:hanging="1440"/>
      </w:pPr>
    </w:lvl>
    <w:lvl w:ilvl="7">
      <w:start w:val="1"/>
      <w:numFmt w:val="decimal"/>
      <w:lvlText w:val="%1.%2.%3.%4.%5.%6.%7.%8"/>
      <w:lvlJc w:val="left"/>
      <w:pPr>
        <w:ind w:left="7045" w:hanging="1800"/>
      </w:pPr>
    </w:lvl>
    <w:lvl w:ilvl="8">
      <w:start w:val="1"/>
      <w:numFmt w:val="decimal"/>
      <w:lvlText w:val="%1.%2.%3.%4.%5.%6.%7.%8.%9"/>
      <w:lvlJc w:val="left"/>
      <w:pPr>
        <w:ind w:left="7045" w:hanging="1800"/>
      </w:pPr>
    </w:lvl>
  </w:abstractNum>
  <w:abstractNum w:abstractNumId="1" w15:restartNumberingAfterBreak="0">
    <w:nsid w:val="071F68E1"/>
    <w:multiLevelType w:val="hybridMultilevel"/>
    <w:tmpl w:val="8FA2E5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A662DD5"/>
    <w:multiLevelType w:val="hybridMultilevel"/>
    <w:tmpl w:val="F3EA0DB8"/>
    <w:lvl w:ilvl="0" w:tplc="B0369714">
      <w:numFmt w:val="bullet"/>
      <w:pStyle w:val="SI-ElencoStyle1-noindent-ai-Level3"/>
      <w:lvlText w:val="-"/>
      <w:lvlJc w:val="left"/>
      <w:pPr>
        <w:ind w:left="2520" w:hanging="360"/>
      </w:pPr>
      <w:rPr>
        <w:rFonts w:ascii="Verdana" w:eastAsia="Times New Roman" w:hAnsi="Verdana" w:cs="Open Sans" w:hint="default"/>
      </w:rPr>
    </w:lvl>
    <w:lvl w:ilvl="1" w:tplc="04180003" w:tentative="1">
      <w:start w:val="1"/>
      <w:numFmt w:val="bullet"/>
      <w:lvlText w:val="o"/>
      <w:lvlJc w:val="left"/>
      <w:pPr>
        <w:ind w:left="3240" w:hanging="360"/>
      </w:pPr>
      <w:rPr>
        <w:rFonts w:ascii="Courier New" w:hAnsi="Courier New" w:cs="Courier New" w:hint="default"/>
      </w:rPr>
    </w:lvl>
    <w:lvl w:ilvl="2" w:tplc="04180005" w:tentative="1">
      <w:start w:val="1"/>
      <w:numFmt w:val="bullet"/>
      <w:lvlText w:val=""/>
      <w:lvlJc w:val="left"/>
      <w:pPr>
        <w:ind w:left="3960" w:hanging="360"/>
      </w:pPr>
      <w:rPr>
        <w:rFonts w:ascii="Wingdings" w:hAnsi="Wingdings" w:hint="default"/>
      </w:rPr>
    </w:lvl>
    <w:lvl w:ilvl="3" w:tplc="04180001" w:tentative="1">
      <w:start w:val="1"/>
      <w:numFmt w:val="bullet"/>
      <w:lvlText w:val=""/>
      <w:lvlJc w:val="left"/>
      <w:pPr>
        <w:ind w:left="4680" w:hanging="360"/>
      </w:pPr>
      <w:rPr>
        <w:rFonts w:ascii="Symbol" w:hAnsi="Symbol" w:hint="default"/>
      </w:rPr>
    </w:lvl>
    <w:lvl w:ilvl="4" w:tplc="04180003" w:tentative="1">
      <w:start w:val="1"/>
      <w:numFmt w:val="bullet"/>
      <w:lvlText w:val="o"/>
      <w:lvlJc w:val="left"/>
      <w:pPr>
        <w:ind w:left="5400" w:hanging="360"/>
      </w:pPr>
      <w:rPr>
        <w:rFonts w:ascii="Courier New" w:hAnsi="Courier New" w:cs="Courier New" w:hint="default"/>
      </w:rPr>
    </w:lvl>
    <w:lvl w:ilvl="5" w:tplc="04180005" w:tentative="1">
      <w:start w:val="1"/>
      <w:numFmt w:val="bullet"/>
      <w:lvlText w:val=""/>
      <w:lvlJc w:val="left"/>
      <w:pPr>
        <w:ind w:left="6120" w:hanging="360"/>
      </w:pPr>
      <w:rPr>
        <w:rFonts w:ascii="Wingdings" w:hAnsi="Wingdings" w:hint="default"/>
      </w:rPr>
    </w:lvl>
    <w:lvl w:ilvl="6" w:tplc="04180001" w:tentative="1">
      <w:start w:val="1"/>
      <w:numFmt w:val="bullet"/>
      <w:lvlText w:val=""/>
      <w:lvlJc w:val="left"/>
      <w:pPr>
        <w:ind w:left="6840" w:hanging="360"/>
      </w:pPr>
      <w:rPr>
        <w:rFonts w:ascii="Symbol" w:hAnsi="Symbol" w:hint="default"/>
      </w:rPr>
    </w:lvl>
    <w:lvl w:ilvl="7" w:tplc="04180003" w:tentative="1">
      <w:start w:val="1"/>
      <w:numFmt w:val="bullet"/>
      <w:lvlText w:val="o"/>
      <w:lvlJc w:val="left"/>
      <w:pPr>
        <w:ind w:left="7560" w:hanging="360"/>
      </w:pPr>
      <w:rPr>
        <w:rFonts w:ascii="Courier New" w:hAnsi="Courier New" w:cs="Courier New" w:hint="default"/>
      </w:rPr>
    </w:lvl>
    <w:lvl w:ilvl="8" w:tplc="04180005" w:tentative="1">
      <w:start w:val="1"/>
      <w:numFmt w:val="bullet"/>
      <w:lvlText w:val=""/>
      <w:lvlJc w:val="left"/>
      <w:pPr>
        <w:ind w:left="8280" w:hanging="360"/>
      </w:pPr>
      <w:rPr>
        <w:rFonts w:ascii="Wingdings" w:hAnsi="Wingdings" w:hint="default"/>
      </w:rPr>
    </w:lvl>
  </w:abstractNum>
  <w:abstractNum w:abstractNumId="3" w15:restartNumberingAfterBreak="0">
    <w:nsid w:val="0B8B02E5"/>
    <w:multiLevelType w:val="hybridMultilevel"/>
    <w:tmpl w:val="7D6C0B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2602DEC"/>
    <w:multiLevelType w:val="hybridMultilevel"/>
    <w:tmpl w:val="90E66EBA"/>
    <w:lvl w:ilvl="0" w:tplc="622A6EBE">
      <w:start w:val="1"/>
      <w:numFmt w:val="upperLetter"/>
      <w:pStyle w:val="SI-ElencoLettere"/>
      <w:lvlText w:val="%1"/>
      <w:lvlJc w:val="left"/>
      <w:pPr>
        <w:ind w:left="360" w:hanging="360"/>
      </w:pPr>
      <w:rPr>
        <w:rFonts w:ascii="Verdana" w:hAnsi="Verdana" w:hint="default"/>
        <w:b/>
        <w:i w:val="0"/>
        <w:sz w:val="21"/>
      </w:rPr>
    </w:lvl>
    <w:lvl w:ilvl="1" w:tplc="04180019" w:tentative="1">
      <w:start w:val="1"/>
      <w:numFmt w:val="lowerLetter"/>
      <w:lvlText w:val="%2."/>
      <w:lvlJc w:val="left"/>
      <w:pPr>
        <w:ind w:left="1222" w:hanging="360"/>
      </w:pPr>
    </w:lvl>
    <w:lvl w:ilvl="2" w:tplc="0418001B" w:tentative="1">
      <w:start w:val="1"/>
      <w:numFmt w:val="lowerRoman"/>
      <w:lvlText w:val="%3."/>
      <w:lvlJc w:val="right"/>
      <w:pPr>
        <w:ind w:left="1942" w:hanging="180"/>
      </w:pPr>
    </w:lvl>
    <w:lvl w:ilvl="3" w:tplc="0418000F" w:tentative="1">
      <w:start w:val="1"/>
      <w:numFmt w:val="decimal"/>
      <w:lvlText w:val="%4."/>
      <w:lvlJc w:val="left"/>
      <w:pPr>
        <w:ind w:left="2662" w:hanging="360"/>
      </w:pPr>
    </w:lvl>
    <w:lvl w:ilvl="4" w:tplc="04180019" w:tentative="1">
      <w:start w:val="1"/>
      <w:numFmt w:val="lowerLetter"/>
      <w:lvlText w:val="%5."/>
      <w:lvlJc w:val="left"/>
      <w:pPr>
        <w:ind w:left="3382" w:hanging="360"/>
      </w:pPr>
    </w:lvl>
    <w:lvl w:ilvl="5" w:tplc="0418001B" w:tentative="1">
      <w:start w:val="1"/>
      <w:numFmt w:val="lowerRoman"/>
      <w:lvlText w:val="%6."/>
      <w:lvlJc w:val="right"/>
      <w:pPr>
        <w:ind w:left="4102" w:hanging="180"/>
      </w:pPr>
    </w:lvl>
    <w:lvl w:ilvl="6" w:tplc="0418000F" w:tentative="1">
      <w:start w:val="1"/>
      <w:numFmt w:val="decimal"/>
      <w:lvlText w:val="%7."/>
      <w:lvlJc w:val="left"/>
      <w:pPr>
        <w:ind w:left="4822" w:hanging="360"/>
      </w:pPr>
    </w:lvl>
    <w:lvl w:ilvl="7" w:tplc="04180019" w:tentative="1">
      <w:start w:val="1"/>
      <w:numFmt w:val="lowerLetter"/>
      <w:lvlText w:val="%8."/>
      <w:lvlJc w:val="left"/>
      <w:pPr>
        <w:ind w:left="5542" w:hanging="360"/>
      </w:pPr>
    </w:lvl>
    <w:lvl w:ilvl="8" w:tplc="0418001B" w:tentative="1">
      <w:start w:val="1"/>
      <w:numFmt w:val="lowerRoman"/>
      <w:lvlText w:val="%9."/>
      <w:lvlJc w:val="right"/>
      <w:pPr>
        <w:ind w:left="6262" w:hanging="180"/>
      </w:pPr>
    </w:lvl>
  </w:abstractNum>
  <w:abstractNum w:abstractNumId="5" w15:restartNumberingAfterBreak="0">
    <w:nsid w:val="168D4847"/>
    <w:multiLevelType w:val="multilevel"/>
    <w:tmpl w:val="597A3886"/>
    <w:name w:val="Studio I.222"/>
    <w:lvl w:ilvl="0">
      <w:start w:val="1"/>
      <w:numFmt w:val="decimal"/>
      <w:lvlText w:val="ALLEGATO %1:"/>
      <w:lvlJc w:val="left"/>
      <w:pPr>
        <w:ind w:left="717" w:hanging="360"/>
      </w:pPr>
      <w:rPr>
        <w:rFonts w:ascii="Verdana" w:hAnsi="Verdana" w:hint="default"/>
        <w:b/>
        <w:i w:val="0"/>
        <w:sz w:val="21"/>
        <w:lang w:val="en-U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6B01068"/>
    <w:multiLevelType w:val="multilevel"/>
    <w:tmpl w:val="1206B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CE1B81"/>
    <w:multiLevelType w:val="hybridMultilevel"/>
    <w:tmpl w:val="9FFAE3A6"/>
    <w:lvl w:ilvl="0" w:tplc="0410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AF315FA"/>
    <w:multiLevelType w:val="multilevel"/>
    <w:tmpl w:val="743457AE"/>
    <w:name w:val="Studio I."/>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pStyle w:val="SI-Titolo-111Level3"/>
      <w:lvlText w:val="%1.%2.%3"/>
      <w:lvlJc w:val="left"/>
      <w:pPr>
        <w:ind w:left="720" w:hanging="720"/>
      </w:pPr>
      <w:rPr>
        <w:rFonts w:hint="default"/>
        <w:lang w:val="en-US"/>
      </w:rPr>
    </w:lvl>
    <w:lvl w:ilvl="3">
      <w:start w:val="1"/>
      <w:numFmt w:val="lowerLetter"/>
      <w:pStyle w:val="SI-ElencoStyle2-conindent-ai-Level1"/>
      <w:lvlText w:val="(%4)"/>
      <w:lvlJc w:val="left"/>
      <w:pPr>
        <w:ind w:left="1440" w:hanging="720"/>
      </w:pPr>
      <w:rPr>
        <w:rFonts w:hint="default"/>
      </w:rPr>
    </w:lvl>
    <w:lvl w:ilvl="4">
      <w:start w:val="1"/>
      <w:numFmt w:val="lowerRoman"/>
      <w:pStyle w:val="SI-ElencoStyle2-conindent-ai-Level2"/>
      <w:lvlText w:val="(%5) "/>
      <w:lvlJc w:val="left"/>
      <w:pPr>
        <w:ind w:left="2160" w:hanging="720"/>
      </w:pPr>
      <w:rPr>
        <w:rFonts w:hint="default"/>
      </w:rPr>
    </w:lvl>
    <w:lvl w:ilvl="5">
      <w:start w:val="1"/>
      <w:numFmt w:val="none"/>
      <w:pStyle w:val="SI-ElencoStyle2-conindent-ai-Level3"/>
      <w:lvlText w:val="%6-"/>
      <w:lvlJc w:val="left"/>
      <w:pPr>
        <w:ind w:left="2880" w:hanging="720"/>
      </w:pPr>
      <w:rPr>
        <w:rFonts w:hint="default"/>
      </w:rPr>
    </w:lvl>
    <w:lvl w:ilvl="6">
      <w:start w:val="1"/>
      <w:numFmt w:val="lowerRoman"/>
      <w:pStyle w:val="SI-ElencoStyle3-conindent-ia-Level1"/>
      <w:lvlText w:val="(%7)"/>
      <w:lvlJc w:val="left"/>
      <w:pPr>
        <w:ind w:left="1440" w:hanging="720"/>
      </w:pPr>
      <w:rPr>
        <w:rFonts w:hint="default"/>
      </w:rPr>
    </w:lvl>
    <w:lvl w:ilvl="7">
      <w:start w:val="1"/>
      <w:numFmt w:val="lowerLetter"/>
      <w:pStyle w:val="SI-ElencoStyle3-conindent-ia-Level2"/>
      <w:lvlText w:val="(%8)"/>
      <w:lvlJc w:val="left"/>
      <w:pPr>
        <w:ind w:left="2160" w:hanging="720"/>
      </w:pPr>
      <w:rPr>
        <w:rFonts w:hint="default"/>
      </w:rPr>
    </w:lvl>
    <w:lvl w:ilvl="8">
      <w:start w:val="1"/>
      <w:numFmt w:val="none"/>
      <w:lvlText w:val="%9-"/>
      <w:lvlJc w:val="left"/>
      <w:pPr>
        <w:ind w:left="2880" w:hanging="720"/>
      </w:pPr>
      <w:rPr>
        <w:rFonts w:hint="default"/>
      </w:rPr>
    </w:lvl>
  </w:abstractNum>
  <w:abstractNum w:abstractNumId="9" w15:restartNumberingAfterBreak="0">
    <w:nsid w:val="1DED3689"/>
    <w:multiLevelType w:val="multilevel"/>
    <w:tmpl w:val="D1A8C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D92FEF"/>
    <w:multiLevelType w:val="hybridMultilevel"/>
    <w:tmpl w:val="5B3C6118"/>
    <w:name w:val="Studio I.2"/>
    <w:lvl w:ilvl="0" w:tplc="33A46D12">
      <w:start w:val="1"/>
      <w:numFmt w:val="bullet"/>
      <w:pStyle w:val="Sommario2"/>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11" w15:restartNumberingAfterBreak="0">
    <w:nsid w:val="34347535"/>
    <w:multiLevelType w:val="multilevel"/>
    <w:tmpl w:val="9594E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093EC0"/>
    <w:multiLevelType w:val="hybridMultilevel"/>
    <w:tmpl w:val="1A18612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DA7668D"/>
    <w:multiLevelType w:val="hybridMultilevel"/>
    <w:tmpl w:val="B5E46E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F8468BE"/>
    <w:multiLevelType w:val="multilevel"/>
    <w:tmpl w:val="3AD0C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7C6C8B"/>
    <w:multiLevelType w:val="hybridMultilevel"/>
    <w:tmpl w:val="B2AA96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3097609"/>
    <w:multiLevelType w:val="hybridMultilevel"/>
    <w:tmpl w:val="D9123C58"/>
    <w:lvl w:ilvl="0" w:tplc="4AF4D7A2">
      <w:start w:val="1"/>
      <w:numFmt w:val="decimal"/>
      <w:pStyle w:val="SI-ElencoNumeri"/>
      <w:lvlText w:val="%1."/>
      <w:lvlJc w:val="left"/>
      <w:pPr>
        <w:ind w:left="360" w:hanging="360"/>
      </w:pPr>
      <w:rPr>
        <w:b/>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45F35106"/>
    <w:multiLevelType w:val="multilevel"/>
    <w:tmpl w:val="162013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6601712"/>
    <w:multiLevelType w:val="hybridMultilevel"/>
    <w:tmpl w:val="759EA1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8AA5F43"/>
    <w:multiLevelType w:val="multilevel"/>
    <w:tmpl w:val="B9429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331749"/>
    <w:multiLevelType w:val="hybridMultilevel"/>
    <w:tmpl w:val="90CC8D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C3F5019"/>
    <w:multiLevelType w:val="hybridMultilevel"/>
    <w:tmpl w:val="27EC03BC"/>
    <w:lvl w:ilvl="0" w:tplc="770C6752">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C58233C"/>
    <w:multiLevelType w:val="hybridMultilevel"/>
    <w:tmpl w:val="BDBEA2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4FD27612"/>
    <w:multiLevelType w:val="hybridMultilevel"/>
    <w:tmpl w:val="C23A9C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69C5654"/>
    <w:multiLevelType w:val="multilevel"/>
    <w:tmpl w:val="4F607B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70E6F99"/>
    <w:multiLevelType w:val="hybridMultilevel"/>
    <w:tmpl w:val="9614E220"/>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A312243"/>
    <w:multiLevelType w:val="hybridMultilevel"/>
    <w:tmpl w:val="35B00D2C"/>
    <w:lvl w:ilvl="0" w:tplc="D16EED38">
      <w:start w:val="1"/>
      <w:numFmt w:val="lowerRoman"/>
      <w:pStyle w:val="SI-ElencoStyle1-noindent-ai-Level2"/>
      <w:lvlText w:val="(%1)"/>
      <w:lvlJc w:val="left"/>
      <w:pPr>
        <w:ind w:left="2498" w:hanging="1080"/>
      </w:pPr>
      <w:rPr>
        <w:rFonts w:hint="default"/>
      </w:rPr>
    </w:lvl>
    <w:lvl w:ilvl="1" w:tplc="04180019" w:tentative="1">
      <w:start w:val="1"/>
      <w:numFmt w:val="lowerLetter"/>
      <w:lvlText w:val="%2."/>
      <w:lvlJc w:val="left"/>
      <w:pPr>
        <w:ind w:left="2498" w:hanging="360"/>
      </w:pPr>
    </w:lvl>
    <w:lvl w:ilvl="2" w:tplc="0418001B" w:tentative="1">
      <w:start w:val="1"/>
      <w:numFmt w:val="lowerRoman"/>
      <w:lvlText w:val="%3."/>
      <w:lvlJc w:val="right"/>
      <w:pPr>
        <w:ind w:left="3218" w:hanging="180"/>
      </w:pPr>
    </w:lvl>
    <w:lvl w:ilvl="3" w:tplc="0418000F" w:tentative="1">
      <w:start w:val="1"/>
      <w:numFmt w:val="decimal"/>
      <w:lvlText w:val="%4."/>
      <w:lvlJc w:val="left"/>
      <w:pPr>
        <w:ind w:left="3938" w:hanging="360"/>
      </w:pPr>
    </w:lvl>
    <w:lvl w:ilvl="4" w:tplc="04180019" w:tentative="1">
      <w:start w:val="1"/>
      <w:numFmt w:val="lowerLetter"/>
      <w:lvlText w:val="%5."/>
      <w:lvlJc w:val="left"/>
      <w:pPr>
        <w:ind w:left="4658" w:hanging="360"/>
      </w:pPr>
    </w:lvl>
    <w:lvl w:ilvl="5" w:tplc="0418001B" w:tentative="1">
      <w:start w:val="1"/>
      <w:numFmt w:val="lowerRoman"/>
      <w:lvlText w:val="%6."/>
      <w:lvlJc w:val="right"/>
      <w:pPr>
        <w:ind w:left="5378" w:hanging="180"/>
      </w:pPr>
    </w:lvl>
    <w:lvl w:ilvl="6" w:tplc="0418000F" w:tentative="1">
      <w:start w:val="1"/>
      <w:numFmt w:val="decimal"/>
      <w:lvlText w:val="%7."/>
      <w:lvlJc w:val="left"/>
      <w:pPr>
        <w:ind w:left="6098" w:hanging="360"/>
      </w:pPr>
    </w:lvl>
    <w:lvl w:ilvl="7" w:tplc="04180019" w:tentative="1">
      <w:start w:val="1"/>
      <w:numFmt w:val="lowerLetter"/>
      <w:lvlText w:val="%8."/>
      <w:lvlJc w:val="left"/>
      <w:pPr>
        <w:ind w:left="6818" w:hanging="360"/>
      </w:pPr>
    </w:lvl>
    <w:lvl w:ilvl="8" w:tplc="0418001B" w:tentative="1">
      <w:start w:val="1"/>
      <w:numFmt w:val="lowerRoman"/>
      <w:lvlText w:val="%9."/>
      <w:lvlJc w:val="right"/>
      <w:pPr>
        <w:ind w:left="7538" w:hanging="180"/>
      </w:pPr>
    </w:lvl>
  </w:abstractNum>
  <w:abstractNum w:abstractNumId="27" w15:restartNumberingAfterBreak="0">
    <w:nsid w:val="6CC04DB7"/>
    <w:multiLevelType w:val="multilevel"/>
    <w:tmpl w:val="7F009A06"/>
    <w:styleLink w:val="Elencocorrente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F637E7C"/>
    <w:multiLevelType w:val="multilevel"/>
    <w:tmpl w:val="BAF84984"/>
    <w:styleLink w:val="StudioI-Numbering"/>
    <w:lvl w:ilvl="0">
      <w:start w:val="1"/>
      <w:numFmt w:val="decimal"/>
      <w:lvlText w:val="%1."/>
      <w:lvlJc w:val="left"/>
      <w:pPr>
        <w:ind w:left="720" w:hanging="360"/>
      </w:pPr>
      <w:rPr>
        <w:rFonts w:hint="default"/>
        <w:b/>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FCB014A"/>
    <w:multiLevelType w:val="hybridMultilevel"/>
    <w:tmpl w:val="6B0656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71592A43"/>
    <w:multiLevelType w:val="multilevel"/>
    <w:tmpl w:val="06B22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3FE1998"/>
    <w:multiLevelType w:val="multilevel"/>
    <w:tmpl w:val="23060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147EE1"/>
    <w:multiLevelType w:val="hybridMultilevel"/>
    <w:tmpl w:val="7F00944E"/>
    <w:lvl w:ilvl="0" w:tplc="E94A5A0A">
      <w:start w:val="1"/>
      <w:numFmt w:val="decimal"/>
      <w:pStyle w:val="SI-ScheduleAllegato"/>
      <w:lvlText w:val="Annex %1."/>
      <w:lvlJc w:val="center"/>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76266994"/>
    <w:multiLevelType w:val="hybridMultilevel"/>
    <w:tmpl w:val="5DD4EA2E"/>
    <w:lvl w:ilvl="0" w:tplc="8522FCCC">
      <w:start w:val="1"/>
      <w:numFmt w:val="lowerLetter"/>
      <w:pStyle w:val="SI-ElencoStyle1-noindent-ai-Level1"/>
      <w:lvlText w:val="(%1)"/>
      <w:lvlJc w:val="left"/>
      <w:pPr>
        <w:ind w:left="709" w:hanging="360"/>
      </w:pPr>
      <w:rPr>
        <w:rFonts w:ascii="Verdana" w:hAnsi="Verdana" w:hint="default"/>
        <w:b w:val="0"/>
        <w:i w:val="0"/>
        <w:sz w:val="21"/>
      </w:rPr>
    </w:lvl>
    <w:lvl w:ilvl="1" w:tplc="04180019" w:tentative="1">
      <w:start w:val="1"/>
      <w:numFmt w:val="lowerLetter"/>
      <w:lvlText w:val="%2."/>
      <w:lvlJc w:val="left"/>
      <w:pPr>
        <w:ind w:left="1429" w:hanging="360"/>
      </w:pPr>
    </w:lvl>
    <w:lvl w:ilvl="2" w:tplc="0418001B" w:tentative="1">
      <w:start w:val="1"/>
      <w:numFmt w:val="lowerRoman"/>
      <w:lvlText w:val="%3."/>
      <w:lvlJc w:val="right"/>
      <w:pPr>
        <w:ind w:left="2149" w:hanging="180"/>
      </w:pPr>
    </w:lvl>
    <w:lvl w:ilvl="3" w:tplc="0418000F" w:tentative="1">
      <w:start w:val="1"/>
      <w:numFmt w:val="decimal"/>
      <w:lvlText w:val="%4."/>
      <w:lvlJc w:val="left"/>
      <w:pPr>
        <w:ind w:left="2869" w:hanging="360"/>
      </w:pPr>
    </w:lvl>
    <w:lvl w:ilvl="4" w:tplc="04180019" w:tentative="1">
      <w:start w:val="1"/>
      <w:numFmt w:val="lowerLetter"/>
      <w:lvlText w:val="%5."/>
      <w:lvlJc w:val="left"/>
      <w:pPr>
        <w:ind w:left="3589" w:hanging="360"/>
      </w:pPr>
    </w:lvl>
    <w:lvl w:ilvl="5" w:tplc="0418001B" w:tentative="1">
      <w:start w:val="1"/>
      <w:numFmt w:val="lowerRoman"/>
      <w:lvlText w:val="%6."/>
      <w:lvlJc w:val="right"/>
      <w:pPr>
        <w:ind w:left="4309" w:hanging="180"/>
      </w:pPr>
    </w:lvl>
    <w:lvl w:ilvl="6" w:tplc="0418000F" w:tentative="1">
      <w:start w:val="1"/>
      <w:numFmt w:val="decimal"/>
      <w:lvlText w:val="%7."/>
      <w:lvlJc w:val="left"/>
      <w:pPr>
        <w:ind w:left="5029" w:hanging="360"/>
      </w:pPr>
    </w:lvl>
    <w:lvl w:ilvl="7" w:tplc="04180019" w:tentative="1">
      <w:start w:val="1"/>
      <w:numFmt w:val="lowerLetter"/>
      <w:lvlText w:val="%8."/>
      <w:lvlJc w:val="left"/>
      <w:pPr>
        <w:ind w:left="5749" w:hanging="360"/>
      </w:pPr>
    </w:lvl>
    <w:lvl w:ilvl="8" w:tplc="0418001B" w:tentative="1">
      <w:start w:val="1"/>
      <w:numFmt w:val="lowerRoman"/>
      <w:lvlText w:val="%9."/>
      <w:lvlJc w:val="right"/>
      <w:pPr>
        <w:ind w:left="6469" w:hanging="180"/>
      </w:pPr>
    </w:lvl>
  </w:abstractNum>
  <w:abstractNum w:abstractNumId="34" w15:restartNumberingAfterBreak="0">
    <w:nsid w:val="7A86358A"/>
    <w:multiLevelType w:val="multilevel"/>
    <w:tmpl w:val="40D0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9440BF"/>
    <w:multiLevelType w:val="hybridMultilevel"/>
    <w:tmpl w:val="3BDCB7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951208074">
    <w:abstractNumId w:val="0"/>
  </w:num>
  <w:num w:numId="2" w16cid:durableId="310715153">
    <w:abstractNumId w:val="0"/>
  </w:num>
  <w:num w:numId="3" w16cid:durableId="1041594558">
    <w:abstractNumId w:val="27"/>
  </w:num>
  <w:num w:numId="4" w16cid:durableId="1331103308">
    <w:abstractNumId w:val="28"/>
  </w:num>
  <w:num w:numId="5" w16cid:durableId="1376269963">
    <w:abstractNumId w:val="16"/>
  </w:num>
  <w:num w:numId="6" w16cid:durableId="1643073160">
    <w:abstractNumId w:val="33"/>
  </w:num>
  <w:num w:numId="7" w16cid:durableId="2001687175">
    <w:abstractNumId w:val="26"/>
  </w:num>
  <w:num w:numId="8" w16cid:durableId="1583100958">
    <w:abstractNumId w:val="2"/>
  </w:num>
  <w:num w:numId="9" w16cid:durableId="1253978532">
    <w:abstractNumId w:val="4"/>
  </w:num>
  <w:num w:numId="10" w16cid:durableId="1956517433">
    <w:abstractNumId w:val="32"/>
  </w:num>
  <w:num w:numId="11" w16cid:durableId="107508168">
    <w:abstractNumId w:val="8"/>
  </w:num>
  <w:num w:numId="12" w16cid:durableId="1262107922">
    <w:abstractNumId w:val="10"/>
  </w:num>
  <w:num w:numId="13" w16cid:durableId="57094258">
    <w:abstractNumId w:val="7"/>
  </w:num>
  <w:num w:numId="14" w16cid:durableId="816142972">
    <w:abstractNumId w:val="1"/>
  </w:num>
  <w:num w:numId="15" w16cid:durableId="1732345250">
    <w:abstractNumId w:val="19"/>
  </w:num>
  <w:num w:numId="16" w16cid:durableId="1681589293">
    <w:abstractNumId w:val="14"/>
  </w:num>
  <w:num w:numId="17" w16cid:durableId="212424976">
    <w:abstractNumId w:val="24"/>
  </w:num>
  <w:num w:numId="18" w16cid:durableId="1810630350">
    <w:abstractNumId w:val="34"/>
  </w:num>
  <w:num w:numId="19" w16cid:durableId="425809076">
    <w:abstractNumId w:val="11"/>
  </w:num>
  <w:num w:numId="20" w16cid:durableId="384379178">
    <w:abstractNumId w:val="17"/>
  </w:num>
  <w:num w:numId="21" w16cid:durableId="1907260002">
    <w:abstractNumId w:val="9"/>
  </w:num>
  <w:num w:numId="22" w16cid:durableId="1811701949">
    <w:abstractNumId w:val="30"/>
  </w:num>
  <w:num w:numId="23" w16cid:durableId="1363553967">
    <w:abstractNumId w:val="31"/>
  </w:num>
  <w:num w:numId="24" w16cid:durableId="735321615">
    <w:abstractNumId w:val="6"/>
  </w:num>
  <w:num w:numId="25" w16cid:durableId="1907720043">
    <w:abstractNumId w:val="3"/>
  </w:num>
  <w:num w:numId="26" w16cid:durableId="532772226">
    <w:abstractNumId w:val="15"/>
  </w:num>
  <w:num w:numId="27" w16cid:durableId="1331375278">
    <w:abstractNumId w:val="23"/>
  </w:num>
  <w:num w:numId="28" w16cid:durableId="639069148">
    <w:abstractNumId w:val="12"/>
  </w:num>
  <w:num w:numId="29" w16cid:durableId="1974938581">
    <w:abstractNumId w:val="21"/>
  </w:num>
  <w:num w:numId="30" w16cid:durableId="53504682">
    <w:abstractNumId w:val="25"/>
  </w:num>
  <w:num w:numId="31" w16cid:durableId="625239522">
    <w:abstractNumId w:val="22"/>
  </w:num>
  <w:num w:numId="32" w16cid:durableId="15813444">
    <w:abstractNumId w:val="18"/>
  </w:num>
  <w:num w:numId="33" w16cid:durableId="1413965802">
    <w:abstractNumId w:val="13"/>
  </w:num>
  <w:num w:numId="34" w16cid:durableId="622612486">
    <w:abstractNumId w:val="20"/>
  </w:num>
  <w:num w:numId="35" w16cid:durableId="668868295">
    <w:abstractNumId w:val="35"/>
  </w:num>
  <w:num w:numId="36" w16cid:durableId="140773395">
    <w:abstractNumId w:val="2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attachedTemplate r:id="rId1"/>
  <w:stylePaneFormatFilter w:val="3821" w:allStyles="1" w:customStyles="0" w:latentStyles="0" w:stylesInUse="0" w:headingStyles="1" w:numberingStyles="0" w:tableStyles="0" w:directFormattingOnRuns="0" w:directFormattingOnParagraphs="0" w:directFormattingOnNumbering="0" w:directFormattingOnTables="1" w:clearFormatting="1" w:top3HeadingStyles="1" w:visibleStyles="0" w:alternateStyleNames="0"/>
  <w:defaultTabStop w:val="708"/>
  <w:hyphenationZone w:val="283"/>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65F"/>
    <w:rsid w:val="00002EE8"/>
    <w:rsid w:val="000040F4"/>
    <w:rsid w:val="00044027"/>
    <w:rsid w:val="0004793A"/>
    <w:rsid w:val="00054DA8"/>
    <w:rsid w:val="00067AA8"/>
    <w:rsid w:val="000925D7"/>
    <w:rsid w:val="00092C5D"/>
    <w:rsid w:val="00096C0D"/>
    <w:rsid w:val="0009763F"/>
    <w:rsid w:val="000A0CEE"/>
    <w:rsid w:val="000A3058"/>
    <w:rsid w:val="000A7237"/>
    <w:rsid w:val="000B119F"/>
    <w:rsid w:val="000B57ED"/>
    <w:rsid w:val="000C34CF"/>
    <w:rsid w:val="000D63FD"/>
    <w:rsid w:val="000E7094"/>
    <w:rsid w:val="000F011A"/>
    <w:rsid w:val="000F1E85"/>
    <w:rsid w:val="00115640"/>
    <w:rsid w:val="00115C77"/>
    <w:rsid w:val="00123A47"/>
    <w:rsid w:val="00124237"/>
    <w:rsid w:val="00125DD3"/>
    <w:rsid w:val="00132C76"/>
    <w:rsid w:val="00137FF2"/>
    <w:rsid w:val="00140CFF"/>
    <w:rsid w:val="00141337"/>
    <w:rsid w:val="00143EC3"/>
    <w:rsid w:val="00144116"/>
    <w:rsid w:val="00147843"/>
    <w:rsid w:val="001512BA"/>
    <w:rsid w:val="001542A5"/>
    <w:rsid w:val="001564BD"/>
    <w:rsid w:val="0016201F"/>
    <w:rsid w:val="0017728C"/>
    <w:rsid w:val="0018627F"/>
    <w:rsid w:val="001E290D"/>
    <w:rsid w:val="001F2496"/>
    <w:rsid w:val="00203A8B"/>
    <w:rsid w:val="00205761"/>
    <w:rsid w:val="002161BC"/>
    <w:rsid w:val="00224D98"/>
    <w:rsid w:val="00246E4E"/>
    <w:rsid w:val="00253165"/>
    <w:rsid w:val="00271D8D"/>
    <w:rsid w:val="002725A7"/>
    <w:rsid w:val="0027341F"/>
    <w:rsid w:val="00275385"/>
    <w:rsid w:val="00276FFB"/>
    <w:rsid w:val="00283085"/>
    <w:rsid w:val="00284C8C"/>
    <w:rsid w:val="002C24B1"/>
    <w:rsid w:val="002D0010"/>
    <w:rsid w:val="002D15C7"/>
    <w:rsid w:val="002D4419"/>
    <w:rsid w:val="002D4D30"/>
    <w:rsid w:val="002D7648"/>
    <w:rsid w:val="002F2E98"/>
    <w:rsid w:val="002F6DA5"/>
    <w:rsid w:val="0030283A"/>
    <w:rsid w:val="0030798B"/>
    <w:rsid w:val="003240A6"/>
    <w:rsid w:val="00333F39"/>
    <w:rsid w:val="003341F9"/>
    <w:rsid w:val="003477CE"/>
    <w:rsid w:val="00354C1C"/>
    <w:rsid w:val="00360CED"/>
    <w:rsid w:val="0037122B"/>
    <w:rsid w:val="0037412E"/>
    <w:rsid w:val="003849EC"/>
    <w:rsid w:val="00391E42"/>
    <w:rsid w:val="00397E24"/>
    <w:rsid w:val="003A01FB"/>
    <w:rsid w:val="003A20D4"/>
    <w:rsid w:val="003A72F7"/>
    <w:rsid w:val="003B17FD"/>
    <w:rsid w:val="003B2F7A"/>
    <w:rsid w:val="003B2FB0"/>
    <w:rsid w:val="003B4227"/>
    <w:rsid w:val="003D15FF"/>
    <w:rsid w:val="003D1E76"/>
    <w:rsid w:val="003D6BC8"/>
    <w:rsid w:val="003E3424"/>
    <w:rsid w:val="003F753A"/>
    <w:rsid w:val="00401182"/>
    <w:rsid w:val="00415684"/>
    <w:rsid w:val="004156FF"/>
    <w:rsid w:val="004218F0"/>
    <w:rsid w:val="00421A8F"/>
    <w:rsid w:val="00452E13"/>
    <w:rsid w:val="00454A1D"/>
    <w:rsid w:val="0045742C"/>
    <w:rsid w:val="00460F7F"/>
    <w:rsid w:val="00464D65"/>
    <w:rsid w:val="0047445F"/>
    <w:rsid w:val="00483A30"/>
    <w:rsid w:val="004A7142"/>
    <w:rsid w:val="004B3FC1"/>
    <w:rsid w:val="004C00E2"/>
    <w:rsid w:val="004D27E3"/>
    <w:rsid w:val="004D3462"/>
    <w:rsid w:val="004E3C27"/>
    <w:rsid w:val="004F3231"/>
    <w:rsid w:val="00513D2E"/>
    <w:rsid w:val="00535E9E"/>
    <w:rsid w:val="005448B9"/>
    <w:rsid w:val="00551A60"/>
    <w:rsid w:val="005716E3"/>
    <w:rsid w:val="00584E75"/>
    <w:rsid w:val="00586740"/>
    <w:rsid w:val="005A025A"/>
    <w:rsid w:val="005A5FC1"/>
    <w:rsid w:val="005B7DF9"/>
    <w:rsid w:val="005C2C89"/>
    <w:rsid w:val="005C5F95"/>
    <w:rsid w:val="005D3467"/>
    <w:rsid w:val="005D4AD2"/>
    <w:rsid w:val="005E4E5E"/>
    <w:rsid w:val="005E5A75"/>
    <w:rsid w:val="005E6866"/>
    <w:rsid w:val="005E6D84"/>
    <w:rsid w:val="005E7EE1"/>
    <w:rsid w:val="00600738"/>
    <w:rsid w:val="006016CE"/>
    <w:rsid w:val="00606402"/>
    <w:rsid w:val="00611C7D"/>
    <w:rsid w:val="006151C2"/>
    <w:rsid w:val="00616575"/>
    <w:rsid w:val="00617594"/>
    <w:rsid w:val="00617ED9"/>
    <w:rsid w:val="0062402F"/>
    <w:rsid w:val="0062573D"/>
    <w:rsid w:val="006342F9"/>
    <w:rsid w:val="006374DD"/>
    <w:rsid w:val="00650352"/>
    <w:rsid w:val="00652274"/>
    <w:rsid w:val="00654D70"/>
    <w:rsid w:val="006572B4"/>
    <w:rsid w:val="00662916"/>
    <w:rsid w:val="0067087D"/>
    <w:rsid w:val="00696DE4"/>
    <w:rsid w:val="006A2331"/>
    <w:rsid w:val="006A3537"/>
    <w:rsid w:val="006B1A15"/>
    <w:rsid w:val="006C29A3"/>
    <w:rsid w:val="006E0460"/>
    <w:rsid w:val="006E0C98"/>
    <w:rsid w:val="006E505F"/>
    <w:rsid w:val="006F08C1"/>
    <w:rsid w:val="006F4DE5"/>
    <w:rsid w:val="0071482D"/>
    <w:rsid w:val="007272B4"/>
    <w:rsid w:val="007332F1"/>
    <w:rsid w:val="00740D79"/>
    <w:rsid w:val="0074688A"/>
    <w:rsid w:val="00763262"/>
    <w:rsid w:val="00763285"/>
    <w:rsid w:val="00773650"/>
    <w:rsid w:val="00781113"/>
    <w:rsid w:val="0078685A"/>
    <w:rsid w:val="007A2887"/>
    <w:rsid w:val="007A3623"/>
    <w:rsid w:val="007A5509"/>
    <w:rsid w:val="007B677F"/>
    <w:rsid w:val="007B77DC"/>
    <w:rsid w:val="007C2095"/>
    <w:rsid w:val="007D636E"/>
    <w:rsid w:val="007E2A51"/>
    <w:rsid w:val="007E3899"/>
    <w:rsid w:val="007E422B"/>
    <w:rsid w:val="007E664A"/>
    <w:rsid w:val="007F3317"/>
    <w:rsid w:val="00805C4C"/>
    <w:rsid w:val="00805D60"/>
    <w:rsid w:val="00833D2B"/>
    <w:rsid w:val="00833DE4"/>
    <w:rsid w:val="00846331"/>
    <w:rsid w:val="008503AA"/>
    <w:rsid w:val="00861849"/>
    <w:rsid w:val="008902EF"/>
    <w:rsid w:val="00890CA4"/>
    <w:rsid w:val="0089455B"/>
    <w:rsid w:val="00894923"/>
    <w:rsid w:val="008961E9"/>
    <w:rsid w:val="008A059C"/>
    <w:rsid w:val="008B3DD6"/>
    <w:rsid w:val="008C198C"/>
    <w:rsid w:val="008D4F0C"/>
    <w:rsid w:val="008F213D"/>
    <w:rsid w:val="008F6E26"/>
    <w:rsid w:val="00901C95"/>
    <w:rsid w:val="00926FFB"/>
    <w:rsid w:val="00927AB8"/>
    <w:rsid w:val="0093312D"/>
    <w:rsid w:val="00944AA9"/>
    <w:rsid w:val="00951191"/>
    <w:rsid w:val="00953014"/>
    <w:rsid w:val="00953B62"/>
    <w:rsid w:val="00960A39"/>
    <w:rsid w:val="00970AEC"/>
    <w:rsid w:val="00974DA0"/>
    <w:rsid w:val="0098153A"/>
    <w:rsid w:val="009818C3"/>
    <w:rsid w:val="009829B9"/>
    <w:rsid w:val="0099645C"/>
    <w:rsid w:val="009A7952"/>
    <w:rsid w:val="009B1797"/>
    <w:rsid w:val="009C325B"/>
    <w:rsid w:val="009C75FA"/>
    <w:rsid w:val="009D22E6"/>
    <w:rsid w:val="009D7AA9"/>
    <w:rsid w:val="009E15CB"/>
    <w:rsid w:val="009E46C2"/>
    <w:rsid w:val="009E6DD1"/>
    <w:rsid w:val="00A0154A"/>
    <w:rsid w:val="00A20237"/>
    <w:rsid w:val="00A209B3"/>
    <w:rsid w:val="00A21403"/>
    <w:rsid w:val="00A26D50"/>
    <w:rsid w:val="00A301E8"/>
    <w:rsid w:val="00A321F0"/>
    <w:rsid w:val="00A3324E"/>
    <w:rsid w:val="00A33B7F"/>
    <w:rsid w:val="00A36F8F"/>
    <w:rsid w:val="00A37DB3"/>
    <w:rsid w:val="00A41311"/>
    <w:rsid w:val="00A47671"/>
    <w:rsid w:val="00A56186"/>
    <w:rsid w:val="00A655AE"/>
    <w:rsid w:val="00A72B02"/>
    <w:rsid w:val="00A910D4"/>
    <w:rsid w:val="00A94875"/>
    <w:rsid w:val="00A9572F"/>
    <w:rsid w:val="00AA0776"/>
    <w:rsid w:val="00AA1895"/>
    <w:rsid w:val="00AA743F"/>
    <w:rsid w:val="00AA7A66"/>
    <w:rsid w:val="00AB785C"/>
    <w:rsid w:val="00AC0577"/>
    <w:rsid w:val="00AC4437"/>
    <w:rsid w:val="00AD0962"/>
    <w:rsid w:val="00AD2D85"/>
    <w:rsid w:val="00AD4DFE"/>
    <w:rsid w:val="00AE6802"/>
    <w:rsid w:val="00B00306"/>
    <w:rsid w:val="00B01B21"/>
    <w:rsid w:val="00B045D2"/>
    <w:rsid w:val="00B0532C"/>
    <w:rsid w:val="00B14027"/>
    <w:rsid w:val="00B159CF"/>
    <w:rsid w:val="00B23A67"/>
    <w:rsid w:val="00B27AF4"/>
    <w:rsid w:val="00B33FB3"/>
    <w:rsid w:val="00B401A3"/>
    <w:rsid w:val="00B407CB"/>
    <w:rsid w:val="00B42101"/>
    <w:rsid w:val="00B54C6D"/>
    <w:rsid w:val="00B57888"/>
    <w:rsid w:val="00B64B3E"/>
    <w:rsid w:val="00B65794"/>
    <w:rsid w:val="00B657D6"/>
    <w:rsid w:val="00B6580E"/>
    <w:rsid w:val="00B71762"/>
    <w:rsid w:val="00B73C88"/>
    <w:rsid w:val="00B76960"/>
    <w:rsid w:val="00B76E19"/>
    <w:rsid w:val="00B808EB"/>
    <w:rsid w:val="00B80C72"/>
    <w:rsid w:val="00B83E86"/>
    <w:rsid w:val="00B90A12"/>
    <w:rsid w:val="00BB2DB1"/>
    <w:rsid w:val="00BB6FAE"/>
    <w:rsid w:val="00BC02A7"/>
    <w:rsid w:val="00BE34C5"/>
    <w:rsid w:val="00C039F3"/>
    <w:rsid w:val="00C06A13"/>
    <w:rsid w:val="00C11293"/>
    <w:rsid w:val="00C12055"/>
    <w:rsid w:val="00C25DDB"/>
    <w:rsid w:val="00C36B1B"/>
    <w:rsid w:val="00C457AB"/>
    <w:rsid w:val="00C52664"/>
    <w:rsid w:val="00C541D1"/>
    <w:rsid w:val="00C61295"/>
    <w:rsid w:val="00C63223"/>
    <w:rsid w:val="00C6613D"/>
    <w:rsid w:val="00C81E90"/>
    <w:rsid w:val="00C82528"/>
    <w:rsid w:val="00C8584F"/>
    <w:rsid w:val="00C9541F"/>
    <w:rsid w:val="00C97D19"/>
    <w:rsid w:val="00CA1BF8"/>
    <w:rsid w:val="00CA2C13"/>
    <w:rsid w:val="00CB7EF4"/>
    <w:rsid w:val="00CC4C5B"/>
    <w:rsid w:val="00CC4E46"/>
    <w:rsid w:val="00CD183E"/>
    <w:rsid w:val="00CD6426"/>
    <w:rsid w:val="00D221F6"/>
    <w:rsid w:val="00D2267D"/>
    <w:rsid w:val="00D53982"/>
    <w:rsid w:val="00D67AD2"/>
    <w:rsid w:val="00D705DE"/>
    <w:rsid w:val="00D70CBF"/>
    <w:rsid w:val="00D72897"/>
    <w:rsid w:val="00D93F8C"/>
    <w:rsid w:val="00D94C8E"/>
    <w:rsid w:val="00D96FB1"/>
    <w:rsid w:val="00DA5046"/>
    <w:rsid w:val="00DB5741"/>
    <w:rsid w:val="00DC5727"/>
    <w:rsid w:val="00DC5E84"/>
    <w:rsid w:val="00DE5471"/>
    <w:rsid w:val="00DF165F"/>
    <w:rsid w:val="00DF4AB2"/>
    <w:rsid w:val="00DF4BD4"/>
    <w:rsid w:val="00DF57FA"/>
    <w:rsid w:val="00DF7E4F"/>
    <w:rsid w:val="00E00CF7"/>
    <w:rsid w:val="00E027D9"/>
    <w:rsid w:val="00E42D23"/>
    <w:rsid w:val="00E577C7"/>
    <w:rsid w:val="00E67809"/>
    <w:rsid w:val="00E71891"/>
    <w:rsid w:val="00E7418E"/>
    <w:rsid w:val="00E76742"/>
    <w:rsid w:val="00E81141"/>
    <w:rsid w:val="00E86104"/>
    <w:rsid w:val="00E91188"/>
    <w:rsid w:val="00E976DA"/>
    <w:rsid w:val="00E97AB5"/>
    <w:rsid w:val="00EA2468"/>
    <w:rsid w:val="00EA5B97"/>
    <w:rsid w:val="00EA7FC5"/>
    <w:rsid w:val="00EB124A"/>
    <w:rsid w:val="00EB6A5F"/>
    <w:rsid w:val="00EB7CE4"/>
    <w:rsid w:val="00EC1075"/>
    <w:rsid w:val="00EC1755"/>
    <w:rsid w:val="00EC37D7"/>
    <w:rsid w:val="00ED5C14"/>
    <w:rsid w:val="00EE2AE1"/>
    <w:rsid w:val="00EE493A"/>
    <w:rsid w:val="00EF19D7"/>
    <w:rsid w:val="00EF3A51"/>
    <w:rsid w:val="00EF4F9C"/>
    <w:rsid w:val="00EF70ED"/>
    <w:rsid w:val="00F0165F"/>
    <w:rsid w:val="00F03394"/>
    <w:rsid w:val="00F03B37"/>
    <w:rsid w:val="00F12C57"/>
    <w:rsid w:val="00F1469E"/>
    <w:rsid w:val="00F149AE"/>
    <w:rsid w:val="00F14C74"/>
    <w:rsid w:val="00F2330D"/>
    <w:rsid w:val="00F319D3"/>
    <w:rsid w:val="00F34D63"/>
    <w:rsid w:val="00F368C7"/>
    <w:rsid w:val="00F37F4D"/>
    <w:rsid w:val="00F54028"/>
    <w:rsid w:val="00F5424A"/>
    <w:rsid w:val="00F54B6B"/>
    <w:rsid w:val="00F67D86"/>
    <w:rsid w:val="00F74618"/>
    <w:rsid w:val="00F770F7"/>
    <w:rsid w:val="00F85BBF"/>
    <w:rsid w:val="00F92E68"/>
    <w:rsid w:val="00F94924"/>
    <w:rsid w:val="00FB2240"/>
    <w:rsid w:val="00FB6533"/>
    <w:rsid w:val="00FD68C3"/>
    <w:rsid w:val="00FF52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7F317"/>
  <w15:chartTrackingRefBased/>
  <w15:docId w15:val="{71322ADF-292B-46B6-AD68-0599A67BA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Corpo CS)"/>
        <w:kern w:val="2"/>
        <w:lang w:val="it-IT" w:eastAsia="en-US" w:bidi="ar-SA"/>
        <w14:ligatures w14:val="standardContextual"/>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qFormat="1"/>
    <w:lsdException w:name="toc 3" w:semiHidden="1" w:uiPriority="39" w:qFormat="1"/>
    <w:lsdException w:name="toc 4" w:semiHidden="1" w:uiPriority="39" w:qFormat="1"/>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nhideWhenUsed="1" w:qFormat="1"/>
    <w:lsdException w:name="annotation text" w:semiHidden="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qFormat="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qFormat="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unhideWhenUsed="1"/>
    <w:lsdException w:name="Smart Link" w:semiHidden="1"/>
  </w:latentStyles>
  <w:style w:type="paragraph" w:default="1" w:styleId="Normale">
    <w:name w:val="Normal"/>
    <w:rsid w:val="005D3467"/>
    <w:pPr>
      <w:spacing w:before="240" w:after="240" w:line="276" w:lineRule="auto"/>
      <w:jc w:val="both"/>
    </w:pPr>
    <w:rPr>
      <w:rFonts w:ascii="Verdana" w:hAnsi="Verdana"/>
      <w:lang w:val="en-GB"/>
    </w:rPr>
  </w:style>
  <w:style w:type="paragraph" w:styleId="Titolo1">
    <w:name w:val="heading 1"/>
    <w:basedOn w:val="Normale"/>
    <w:next w:val="Normale"/>
    <w:link w:val="Titolo1Carattere"/>
    <w:uiPriority w:val="9"/>
    <w:semiHidden/>
    <w:rsid w:val="00AB785C"/>
    <w:pPr>
      <w:numPr>
        <w:numId w:val="2"/>
      </w:numPr>
      <w:autoSpaceDE w:val="0"/>
      <w:autoSpaceDN w:val="0"/>
      <w:adjustRightInd w:val="0"/>
      <w:spacing w:beforeLines="60" w:before="60" w:afterLines="60" w:after="60"/>
      <w:outlineLvl w:val="0"/>
    </w:pPr>
    <w:rPr>
      <w:rFonts w:eastAsiaTheme="minorEastAsia" w:cs="Arial"/>
      <w:b/>
      <w:bCs/>
      <w:smallCaps/>
      <w:color w:val="002E5D"/>
      <w:kern w:val="0"/>
      <w:lang w:eastAsia="it-IT"/>
      <w14:ligatures w14:val="none"/>
    </w:rPr>
  </w:style>
  <w:style w:type="paragraph" w:styleId="Titolo2">
    <w:name w:val="heading 2"/>
    <w:basedOn w:val="Normale"/>
    <w:next w:val="Normale"/>
    <w:link w:val="Titolo2Carattere"/>
    <w:uiPriority w:val="9"/>
    <w:semiHidden/>
    <w:rsid w:val="00AB785C"/>
    <w:pPr>
      <w:numPr>
        <w:ilvl w:val="1"/>
        <w:numId w:val="1"/>
      </w:numPr>
      <w:autoSpaceDE w:val="0"/>
      <w:autoSpaceDN w:val="0"/>
      <w:adjustRightInd w:val="0"/>
      <w:spacing w:beforeLines="60" w:before="60" w:afterLines="60" w:after="60" w:line="259" w:lineRule="auto"/>
      <w:ind w:left="357" w:hanging="357"/>
      <w:outlineLvl w:val="1"/>
    </w:pPr>
    <w:rPr>
      <w:rFonts w:eastAsiaTheme="minorEastAsia" w:cs="Arial"/>
      <w:b/>
      <w:bCs/>
      <w:color w:val="002E5D"/>
      <w:kern w:val="0"/>
      <w:shd w:val="clear" w:color="auto" w:fill="FFFFFF"/>
      <w:lang w:val="en-US" w:eastAsia="it-IT"/>
      <w14:ligatures w14:val="none"/>
    </w:rPr>
  </w:style>
  <w:style w:type="paragraph" w:styleId="Titolo3">
    <w:name w:val="heading 3"/>
    <w:basedOn w:val="Normale"/>
    <w:next w:val="Normale"/>
    <w:link w:val="Titolo3Carattere"/>
    <w:uiPriority w:val="9"/>
    <w:semiHidden/>
    <w:rsid w:val="000925D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olo4">
    <w:name w:val="heading 4"/>
    <w:basedOn w:val="Normale"/>
    <w:next w:val="Normale"/>
    <w:link w:val="Titolo4Carattere"/>
    <w:uiPriority w:val="9"/>
    <w:semiHidden/>
    <w:rsid w:val="000925D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olo5">
    <w:name w:val="heading 5"/>
    <w:basedOn w:val="Normale"/>
    <w:next w:val="Normale"/>
    <w:link w:val="Titolo5Carattere"/>
    <w:uiPriority w:val="9"/>
    <w:semiHidden/>
    <w:qFormat/>
    <w:rsid w:val="000925D7"/>
    <w:pPr>
      <w:keepNext/>
      <w:keepLines/>
      <w:spacing w:before="80" w:after="40"/>
      <w:outlineLvl w:val="4"/>
    </w:pPr>
    <w:rPr>
      <w:rFonts w:asciiTheme="minorHAnsi" w:eastAsiaTheme="majorEastAsia" w:hAnsiTheme="minorHAnsi" w:cstheme="majorBidi"/>
      <w:color w:val="0F4761" w:themeColor="accent1" w:themeShade="BF"/>
    </w:rPr>
  </w:style>
  <w:style w:type="paragraph" w:styleId="Titolo6">
    <w:name w:val="heading 6"/>
    <w:basedOn w:val="Normale"/>
    <w:next w:val="Normale"/>
    <w:link w:val="Titolo6Carattere"/>
    <w:uiPriority w:val="9"/>
    <w:semiHidden/>
    <w:qFormat/>
    <w:rsid w:val="000925D7"/>
    <w:pPr>
      <w:keepNext/>
      <w:keepLines/>
      <w:spacing w:before="4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qFormat/>
    <w:rsid w:val="000925D7"/>
    <w:pPr>
      <w:keepNext/>
      <w:keepLines/>
      <w:spacing w:before="4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qFormat/>
    <w:rsid w:val="000925D7"/>
    <w:pPr>
      <w:keepNext/>
      <w:keepLines/>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qFormat/>
    <w:rsid w:val="000925D7"/>
    <w:pPr>
      <w:keepNext/>
      <w:keepLines/>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semiHidden/>
    <w:rsid w:val="006E0460"/>
    <w:rPr>
      <w:rFonts w:ascii="Verdana" w:eastAsiaTheme="minorEastAsia" w:hAnsi="Verdana" w:cs="Arial"/>
      <w:b/>
      <w:bCs/>
      <w:smallCaps/>
      <w:color w:val="002E5D"/>
      <w:kern w:val="0"/>
      <w:lang w:val="en-GB" w:eastAsia="it-IT"/>
      <w14:ligatures w14:val="none"/>
    </w:rPr>
  </w:style>
  <w:style w:type="character" w:customStyle="1" w:styleId="Titolo2Carattere">
    <w:name w:val="Titolo 2 Carattere"/>
    <w:basedOn w:val="Carpredefinitoparagrafo"/>
    <w:link w:val="Titolo2"/>
    <w:uiPriority w:val="9"/>
    <w:semiHidden/>
    <w:rsid w:val="006E0460"/>
    <w:rPr>
      <w:rFonts w:ascii="Verdana" w:eastAsiaTheme="minorEastAsia" w:hAnsi="Verdana" w:cs="Arial"/>
      <w:b/>
      <w:bCs/>
      <w:color w:val="002E5D"/>
      <w:kern w:val="0"/>
      <w:lang w:val="en-US" w:eastAsia="it-IT"/>
      <w14:ligatures w14:val="none"/>
    </w:rPr>
  </w:style>
  <w:style w:type="numbering" w:customStyle="1" w:styleId="Elencocorrente1">
    <w:name w:val="Elenco corrente1"/>
    <w:uiPriority w:val="99"/>
    <w:rsid w:val="007272B4"/>
    <w:pPr>
      <w:numPr>
        <w:numId w:val="3"/>
      </w:numPr>
    </w:pPr>
  </w:style>
  <w:style w:type="character" w:customStyle="1" w:styleId="Titolo3Carattere">
    <w:name w:val="Titolo 3 Carattere"/>
    <w:basedOn w:val="Carpredefinitoparagrafo"/>
    <w:link w:val="Titolo3"/>
    <w:uiPriority w:val="9"/>
    <w:semiHidden/>
    <w:rsid w:val="006E0460"/>
    <w:rPr>
      <w:rFonts w:asciiTheme="minorHAnsi" w:eastAsiaTheme="majorEastAsia" w:hAnsiTheme="minorHAnsi"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E0460"/>
    <w:rPr>
      <w:rFonts w:asciiTheme="minorHAnsi" w:eastAsiaTheme="majorEastAsia" w:hAnsiTheme="minorHAnsi" w:cstheme="majorBidi"/>
      <w:i/>
      <w:iCs/>
      <w:color w:val="0F4761" w:themeColor="accent1" w:themeShade="BF"/>
      <w:sz w:val="21"/>
      <w:szCs w:val="21"/>
    </w:rPr>
  </w:style>
  <w:style w:type="character" w:customStyle="1" w:styleId="Titolo5Carattere">
    <w:name w:val="Titolo 5 Carattere"/>
    <w:basedOn w:val="Carpredefinitoparagrafo"/>
    <w:link w:val="Titolo5"/>
    <w:uiPriority w:val="9"/>
    <w:semiHidden/>
    <w:rsid w:val="006E0460"/>
    <w:rPr>
      <w:rFonts w:asciiTheme="minorHAnsi" w:eastAsiaTheme="majorEastAsia" w:hAnsiTheme="minorHAnsi" w:cstheme="majorBidi"/>
      <w:color w:val="0F4761" w:themeColor="accent1" w:themeShade="BF"/>
      <w:sz w:val="21"/>
      <w:szCs w:val="21"/>
    </w:rPr>
  </w:style>
  <w:style w:type="character" w:customStyle="1" w:styleId="Titolo6Carattere">
    <w:name w:val="Titolo 6 Carattere"/>
    <w:basedOn w:val="Carpredefinitoparagrafo"/>
    <w:link w:val="Titolo6"/>
    <w:uiPriority w:val="9"/>
    <w:semiHidden/>
    <w:rsid w:val="006E0460"/>
    <w:rPr>
      <w:rFonts w:asciiTheme="minorHAnsi" w:eastAsiaTheme="majorEastAsia" w:hAnsiTheme="minorHAnsi" w:cstheme="majorBidi"/>
      <w:i/>
      <w:iCs/>
      <w:color w:val="595959" w:themeColor="text1" w:themeTint="A6"/>
      <w:sz w:val="21"/>
      <w:szCs w:val="21"/>
    </w:rPr>
  </w:style>
  <w:style w:type="character" w:customStyle="1" w:styleId="Titolo7Carattere">
    <w:name w:val="Titolo 7 Carattere"/>
    <w:basedOn w:val="Carpredefinitoparagrafo"/>
    <w:link w:val="Titolo7"/>
    <w:uiPriority w:val="9"/>
    <w:semiHidden/>
    <w:rsid w:val="006E0460"/>
    <w:rPr>
      <w:rFonts w:asciiTheme="minorHAnsi" w:eastAsiaTheme="majorEastAsia" w:hAnsiTheme="minorHAnsi" w:cstheme="majorBidi"/>
      <w:color w:val="595959" w:themeColor="text1" w:themeTint="A6"/>
      <w:sz w:val="21"/>
      <w:szCs w:val="21"/>
    </w:rPr>
  </w:style>
  <w:style w:type="character" w:customStyle="1" w:styleId="Titolo8Carattere">
    <w:name w:val="Titolo 8 Carattere"/>
    <w:basedOn w:val="Carpredefinitoparagrafo"/>
    <w:link w:val="Titolo8"/>
    <w:uiPriority w:val="9"/>
    <w:semiHidden/>
    <w:rsid w:val="006E0460"/>
    <w:rPr>
      <w:rFonts w:asciiTheme="minorHAnsi" w:eastAsiaTheme="majorEastAsia" w:hAnsiTheme="minorHAnsi" w:cstheme="majorBidi"/>
      <w:i/>
      <w:iCs/>
      <w:color w:val="272727" w:themeColor="text1" w:themeTint="D8"/>
      <w:sz w:val="21"/>
      <w:szCs w:val="21"/>
    </w:rPr>
  </w:style>
  <w:style w:type="character" w:customStyle="1" w:styleId="Titolo9Carattere">
    <w:name w:val="Titolo 9 Carattere"/>
    <w:basedOn w:val="Carpredefinitoparagrafo"/>
    <w:link w:val="Titolo9"/>
    <w:uiPriority w:val="9"/>
    <w:semiHidden/>
    <w:rsid w:val="006E0460"/>
    <w:rPr>
      <w:rFonts w:asciiTheme="minorHAnsi" w:eastAsiaTheme="majorEastAsia" w:hAnsiTheme="minorHAnsi" w:cstheme="majorBidi"/>
      <w:color w:val="272727" w:themeColor="text1" w:themeTint="D8"/>
      <w:sz w:val="21"/>
      <w:szCs w:val="21"/>
    </w:rPr>
  </w:style>
  <w:style w:type="character" w:styleId="Numeropagina">
    <w:name w:val="page number"/>
    <w:basedOn w:val="Carpredefinitoparagrafo"/>
    <w:uiPriority w:val="99"/>
    <w:semiHidden/>
    <w:rsid w:val="000925D7"/>
  </w:style>
  <w:style w:type="character" w:styleId="Rimandonotaapidipagina">
    <w:name w:val="footnote reference"/>
    <w:basedOn w:val="Carpredefinitoparagrafo"/>
    <w:uiPriority w:val="99"/>
    <w:semiHidden/>
    <w:rsid w:val="00A36F8F"/>
    <w:rPr>
      <w:vertAlign w:val="superscript"/>
    </w:rPr>
  </w:style>
  <w:style w:type="table" w:styleId="Grigliatabella">
    <w:name w:val="Table Grid"/>
    <w:basedOn w:val="Tabellanormale"/>
    <w:uiPriority w:val="39"/>
    <w:rsid w:val="00224D98"/>
    <w:pPr>
      <w:spacing w:after="160" w:line="259" w:lineRule="auto"/>
    </w:pPr>
    <w:rPr>
      <w:rFonts w:asciiTheme="minorHAnsi" w:hAnsiTheme="minorHAnsi"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semiHidden/>
    <w:qFormat/>
    <w:rsid w:val="003A72F7"/>
  </w:style>
  <w:style w:type="character" w:customStyle="1" w:styleId="TestonotaapidipaginaCarattere">
    <w:name w:val="Testo nota a piè di pagina Carattere"/>
    <w:basedOn w:val="Carpredefinitoparagrafo"/>
    <w:link w:val="Testonotaapidipagina"/>
    <w:uiPriority w:val="99"/>
    <w:semiHidden/>
    <w:rsid w:val="006E0460"/>
    <w:rPr>
      <w:rFonts w:ascii="Verdana" w:hAnsi="Verdana"/>
      <w:sz w:val="21"/>
      <w:szCs w:val="20"/>
    </w:rPr>
  </w:style>
  <w:style w:type="numbering" w:customStyle="1" w:styleId="StudioI-Numbering">
    <w:name w:val="Studio I. - Numbering"/>
    <w:uiPriority w:val="99"/>
    <w:rsid w:val="003A72F7"/>
    <w:pPr>
      <w:numPr>
        <w:numId w:val="4"/>
      </w:numPr>
    </w:pPr>
  </w:style>
  <w:style w:type="table" w:styleId="Tabellagriglia4-colore2">
    <w:name w:val="Grid Table 4 Accent 2"/>
    <w:aliases w:val="Studio I. - Tabella"/>
    <w:basedOn w:val="Tabellanormale"/>
    <w:uiPriority w:val="49"/>
    <w:rsid w:val="00092C5D"/>
    <w:pPr>
      <w:spacing w:before="120" w:after="120"/>
    </w:pPr>
    <w:rPr>
      <w:rFonts w:ascii="Verdana" w:hAnsi="Verdana" w:cs="Times New Roman"/>
      <w:iCs/>
      <w:kern w:val="0"/>
      <w:sz w:val="21"/>
      <w:szCs w:val="15"/>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pPr>
        <w:wordWrap/>
        <w:ind w:leftChars="0" w:left="170" w:firstLineChars="0" w:firstLine="0"/>
        <w:jc w:val="center"/>
      </w:pPr>
      <w:rPr>
        <w:rFonts w:ascii="Verdana" w:hAnsi="Verdana"/>
        <w:b/>
        <w:bCs/>
        <w:caps/>
        <w:smallCaps w:val="0"/>
        <w:vanish w:val="0"/>
        <w:color w:val="FFFFFF" w:themeColor="background1"/>
        <w:sz w:val="20"/>
      </w:rPr>
      <w:tblPr/>
      <w:tcPr>
        <w:shd w:val="clear" w:color="auto" w:fill="AE8B63"/>
      </w:tcPr>
    </w:tblStylePr>
    <w:tblStylePr w:type="lastRow">
      <w:rPr>
        <w:b/>
        <w:bCs/>
      </w:rPr>
      <w:tblPr/>
      <w:tcPr>
        <w:tcBorders>
          <w:top w:val="double" w:sz="4" w:space="0" w:color="E97132" w:themeColor="accent2"/>
        </w:tcBorders>
      </w:tcPr>
    </w:tblStylePr>
    <w:tblStylePr w:type="firstCol">
      <w:pPr>
        <w:wordWrap/>
        <w:ind w:leftChars="0" w:left="170"/>
        <w:jc w:val="left"/>
      </w:pPr>
      <w:rPr>
        <w:rFonts w:ascii="Verdana" w:hAnsi="Verdana"/>
        <w:b w:val="0"/>
        <w:bCs/>
        <w:sz w:val="21"/>
      </w:rPr>
    </w:tblStylePr>
    <w:tblStylePr w:type="lastCol">
      <w:rPr>
        <w:b/>
        <w:bCs/>
      </w:rPr>
    </w:tblStylePr>
    <w:tblStylePr w:type="band1Vert">
      <w:tblPr/>
      <w:tcPr>
        <w:shd w:val="clear" w:color="auto" w:fill="FAE2D5" w:themeFill="accent2" w:themeFillTint="33"/>
      </w:tcPr>
    </w:tblStylePr>
    <w:tblStylePr w:type="band1Horz">
      <w:rPr>
        <w:rFonts w:ascii="Verdana" w:hAnsi="Verdana"/>
        <w:sz w:val="20"/>
      </w:rPr>
      <w:tblPr/>
      <w:tcPr>
        <w:shd w:val="clear" w:color="auto" w:fill="FFFFFF" w:themeFill="background1"/>
      </w:tcPr>
    </w:tblStylePr>
    <w:tblStylePr w:type="band2Horz">
      <w:tblPr/>
      <w:tcPr>
        <w:shd w:val="clear" w:color="auto" w:fill="D6C6B1"/>
      </w:tcPr>
    </w:tblStylePr>
  </w:style>
  <w:style w:type="character" w:styleId="Menzionenonrisolta">
    <w:name w:val="Unresolved Mention"/>
    <w:basedOn w:val="Carpredefinitoparagrafo"/>
    <w:uiPriority w:val="99"/>
    <w:semiHidden/>
    <w:rsid w:val="00AA0776"/>
    <w:rPr>
      <w:color w:val="605E5C"/>
      <w:shd w:val="clear" w:color="auto" w:fill="E1DFDD"/>
    </w:rPr>
  </w:style>
  <w:style w:type="table" w:styleId="Tabellagriglia4-colore6">
    <w:name w:val="Grid Table 4 Accent 6"/>
    <w:basedOn w:val="Tabellanormale"/>
    <w:uiPriority w:val="49"/>
    <w:rsid w:val="00092C5D"/>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paragraph" w:customStyle="1" w:styleId="SI-Corpo">
    <w:name w:val="SI - Corpo"/>
    <w:qFormat/>
    <w:rsid w:val="00C97D19"/>
    <w:pPr>
      <w:spacing w:before="120" w:after="120"/>
      <w:ind w:left="720"/>
      <w:jc w:val="both"/>
    </w:pPr>
    <w:rPr>
      <w:rFonts w:ascii="Verdana" w:eastAsiaTheme="minorEastAsia" w:hAnsi="Verdana" w:cs="Arial"/>
      <w:kern w:val="0"/>
      <w:sz w:val="21"/>
      <w:lang w:val="en-GB"/>
      <w14:ligatures w14:val="none"/>
    </w:rPr>
  </w:style>
  <w:style w:type="paragraph" w:customStyle="1" w:styleId="SI-ElencoStyle1-noindent-ai-Level1">
    <w:name w:val="SI - Elenco Style 1 - no indent - (a)/(i)/- Level 1"/>
    <w:rsid w:val="003E3424"/>
    <w:pPr>
      <w:numPr>
        <w:numId w:val="6"/>
      </w:numPr>
      <w:spacing w:before="120" w:after="120"/>
      <w:ind w:left="720" w:hanging="720"/>
      <w:jc w:val="both"/>
    </w:pPr>
    <w:rPr>
      <w:rFonts w:ascii="Verdana" w:eastAsia="Times New Roman" w:hAnsi="Verdana" w:cs="Open Sans"/>
      <w:bCs/>
      <w:color w:val="000000"/>
      <w:kern w:val="0"/>
      <w:sz w:val="21"/>
      <w:szCs w:val="21"/>
      <w:lang w:val="en-US"/>
      <w14:ligatures w14:val="none"/>
    </w:rPr>
  </w:style>
  <w:style w:type="paragraph" w:customStyle="1" w:styleId="SI-ElencoStyle1-noindent-ai-Level2">
    <w:name w:val="SI - Elenco Style 1 - no indent - (a)/(i)/- Level 2"/>
    <w:rsid w:val="003E3424"/>
    <w:pPr>
      <w:numPr>
        <w:numId w:val="7"/>
      </w:numPr>
      <w:spacing w:before="120" w:after="120"/>
      <w:ind w:left="720" w:hanging="720"/>
      <w:jc w:val="both"/>
    </w:pPr>
    <w:rPr>
      <w:rFonts w:ascii="Verdana" w:eastAsia="Times New Roman" w:hAnsi="Verdana" w:cs="Open Sans"/>
      <w:bCs/>
      <w:color w:val="000000"/>
      <w:kern w:val="0"/>
      <w:sz w:val="21"/>
      <w:szCs w:val="21"/>
      <w14:ligatures w14:val="none"/>
    </w:rPr>
  </w:style>
  <w:style w:type="paragraph" w:customStyle="1" w:styleId="SI-ElencoStyle1-noindent-ai-Level3">
    <w:name w:val="SI - Elenco Style 1 - no indent - (a)/(i)/- Level 3"/>
    <w:basedOn w:val="SI-Corpo"/>
    <w:rsid w:val="003A01FB"/>
    <w:pPr>
      <w:numPr>
        <w:numId w:val="8"/>
      </w:numPr>
      <w:ind w:left="720" w:hanging="720"/>
    </w:pPr>
  </w:style>
  <w:style w:type="paragraph" w:customStyle="1" w:styleId="SI-ElencoStyle2-conindent-ai-Level1">
    <w:name w:val="SI - Elenco Style 2 - con indent - (a)/(i)/- Level 1"/>
    <w:qFormat/>
    <w:rsid w:val="003E3424"/>
    <w:pPr>
      <w:numPr>
        <w:ilvl w:val="3"/>
        <w:numId w:val="11"/>
      </w:numPr>
      <w:spacing w:before="120" w:after="120"/>
      <w:jc w:val="both"/>
    </w:pPr>
    <w:rPr>
      <w:rFonts w:ascii="Verdana" w:eastAsia="Times New Roman" w:hAnsi="Verdana" w:cs="Open Sans"/>
      <w:bCs/>
      <w:color w:val="000000"/>
      <w:kern w:val="0"/>
      <w:sz w:val="21"/>
      <w:szCs w:val="21"/>
      <w:lang w:val="en-US"/>
      <w14:ligatures w14:val="none"/>
    </w:rPr>
  </w:style>
  <w:style w:type="paragraph" w:customStyle="1" w:styleId="SI-ElencoStyle2-conindent-ai-Level2">
    <w:name w:val="SI - Elenco Style 2 - con indent - (a)/(i)/- Level 2"/>
    <w:qFormat/>
    <w:rsid w:val="003E3424"/>
    <w:pPr>
      <w:numPr>
        <w:ilvl w:val="4"/>
        <w:numId w:val="11"/>
      </w:numPr>
      <w:spacing w:before="120" w:after="120"/>
      <w:jc w:val="both"/>
      <w:outlineLvl w:val="1"/>
    </w:pPr>
    <w:rPr>
      <w:rFonts w:ascii="Verdana" w:eastAsia="Times New Roman" w:hAnsi="Verdana" w:cs="Open Sans"/>
      <w:bCs/>
      <w:color w:val="000000"/>
      <w:kern w:val="0"/>
      <w:sz w:val="21"/>
      <w:szCs w:val="21"/>
      <w:lang w:val="en-US"/>
      <w14:ligatures w14:val="none"/>
    </w:rPr>
  </w:style>
  <w:style w:type="paragraph" w:customStyle="1" w:styleId="SI-ElencoStyle2-conindent-ai-Level3">
    <w:name w:val="SI - Elenco Style 2 - con indent - (a)/(i)/- Level 3"/>
    <w:qFormat/>
    <w:rsid w:val="003E3424"/>
    <w:pPr>
      <w:numPr>
        <w:ilvl w:val="5"/>
        <w:numId w:val="11"/>
      </w:numPr>
      <w:spacing w:before="120" w:after="120"/>
      <w:jc w:val="both"/>
    </w:pPr>
    <w:rPr>
      <w:rFonts w:ascii="Verdana" w:eastAsia="Times New Roman" w:hAnsi="Verdana" w:cs="Open Sans"/>
      <w:bCs/>
      <w:color w:val="000000"/>
      <w:kern w:val="0"/>
      <w:sz w:val="21"/>
      <w:szCs w:val="21"/>
      <w:lang w:val="en-US"/>
      <w14:ligatures w14:val="none"/>
    </w:rPr>
  </w:style>
  <w:style w:type="paragraph" w:customStyle="1" w:styleId="SI-ElencoStyle3-conindent-ia-Level1">
    <w:name w:val="SI - Elenco Style 3 - con indent - (i)/(a)/- Level 1"/>
    <w:qFormat/>
    <w:rsid w:val="003E3424"/>
    <w:pPr>
      <w:numPr>
        <w:ilvl w:val="6"/>
        <w:numId w:val="11"/>
      </w:numPr>
      <w:spacing w:before="120" w:after="120"/>
      <w:jc w:val="both"/>
    </w:pPr>
    <w:rPr>
      <w:rFonts w:ascii="Verdana" w:eastAsia="Times New Roman" w:hAnsi="Verdana" w:cs="Open Sans"/>
      <w:bCs/>
      <w:color w:val="000000"/>
      <w:kern w:val="0"/>
      <w:sz w:val="21"/>
      <w:szCs w:val="21"/>
      <w:lang w:val="en-US"/>
      <w14:ligatures w14:val="none"/>
    </w:rPr>
  </w:style>
  <w:style w:type="paragraph" w:customStyle="1" w:styleId="SI-ElencoStyle3-conindent-ia-Level2">
    <w:name w:val="SI - Elenco Style 3 - con indent - (i)/(a)/- Level 2"/>
    <w:qFormat/>
    <w:rsid w:val="003E3424"/>
    <w:pPr>
      <w:numPr>
        <w:ilvl w:val="7"/>
        <w:numId w:val="11"/>
      </w:numPr>
      <w:spacing w:before="120" w:after="120"/>
      <w:jc w:val="both"/>
    </w:pPr>
    <w:rPr>
      <w:rFonts w:ascii="Verdana" w:eastAsia="Times New Roman" w:hAnsi="Verdana" w:cs="Open Sans"/>
      <w:bCs/>
      <w:color w:val="000000"/>
      <w:kern w:val="0"/>
      <w:sz w:val="21"/>
      <w:szCs w:val="21"/>
      <w:lang w:val="en-US"/>
      <w14:ligatures w14:val="none"/>
    </w:rPr>
  </w:style>
  <w:style w:type="paragraph" w:customStyle="1" w:styleId="SI-ElencoStyle3-conindent-ia-Level3">
    <w:name w:val="SI - Elenco Style 3 - con indent - (i)/(a)/- Level 3"/>
    <w:basedOn w:val="SI-ElencoStyle2-conindent-ai-Level3"/>
    <w:qFormat/>
    <w:rsid w:val="003E3424"/>
  </w:style>
  <w:style w:type="paragraph" w:styleId="Intestazione">
    <w:name w:val="header"/>
    <w:basedOn w:val="Normale"/>
    <w:link w:val="IntestazioneCarattere"/>
    <w:uiPriority w:val="99"/>
    <w:semiHidden/>
    <w:rsid w:val="003B2F7A"/>
    <w:pPr>
      <w:tabs>
        <w:tab w:val="center" w:pos="4819"/>
        <w:tab w:val="right" w:pos="9638"/>
      </w:tabs>
      <w:spacing w:before="0" w:after="0" w:line="240" w:lineRule="auto"/>
    </w:pPr>
  </w:style>
  <w:style w:type="paragraph" w:customStyle="1" w:styleId="SI-Notaapidipagina">
    <w:name w:val="SI - Nota a piè di pagina"/>
    <w:basedOn w:val="Testonotaapidipagina"/>
    <w:rsid w:val="008D4F0C"/>
    <w:pPr>
      <w:widowControl w:val="0"/>
      <w:autoSpaceDE w:val="0"/>
      <w:autoSpaceDN w:val="0"/>
      <w:adjustRightInd w:val="0"/>
    </w:pPr>
    <w:rPr>
      <w:rFonts w:eastAsiaTheme="minorEastAsia" w:cs="Arial"/>
      <w:i/>
      <w:kern w:val="0"/>
      <w:sz w:val="16"/>
      <w:szCs w:val="16"/>
      <w14:ligatures w14:val="none"/>
    </w:rPr>
  </w:style>
  <w:style w:type="paragraph" w:customStyle="1" w:styleId="SI-ElencoNumeri">
    <w:name w:val="SI - Elenco Numeri"/>
    <w:basedOn w:val="Normale"/>
    <w:rsid w:val="003A20D4"/>
    <w:pPr>
      <w:widowControl w:val="0"/>
      <w:numPr>
        <w:numId w:val="5"/>
      </w:numPr>
      <w:autoSpaceDE w:val="0"/>
      <w:autoSpaceDN w:val="0"/>
      <w:adjustRightInd w:val="0"/>
      <w:ind w:left="0" w:firstLine="0"/>
    </w:pPr>
    <w:rPr>
      <w:rFonts w:eastAsiaTheme="minorEastAsia" w:cs="Arial"/>
      <w:b/>
      <w:kern w:val="0"/>
      <w:lang w:val="en-US"/>
      <w14:ligatures w14:val="none"/>
    </w:rPr>
  </w:style>
  <w:style w:type="paragraph" w:customStyle="1" w:styleId="SI-ElencoLettere">
    <w:name w:val="SI - Elenco Lettere"/>
    <w:basedOn w:val="Normale"/>
    <w:rsid w:val="004D27E3"/>
    <w:pPr>
      <w:widowControl w:val="0"/>
      <w:numPr>
        <w:numId w:val="9"/>
      </w:numPr>
      <w:autoSpaceDE w:val="0"/>
      <w:autoSpaceDN w:val="0"/>
      <w:adjustRightInd w:val="0"/>
      <w:ind w:left="0" w:firstLine="0"/>
    </w:pPr>
    <w:rPr>
      <w:rFonts w:eastAsiaTheme="minorEastAsia" w:cs="Arial"/>
      <w:b/>
      <w:kern w:val="0"/>
      <w14:ligatures w14:val="none"/>
    </w:rPr>
  </w:style>
  <w:style w:type="paragraph" w:customStyle="1" w:styleId="SI-Titolo-1Level1">
    <w:name w:val="SI - Titolo - 1. Level 1"/>
    <w:basedOn w:val="Normale"/>
    <w:next w:val="Normale"/>
    <w:link w:val="SI-Titolo-1Level1Carattere"/>
    <w:rsid w:val="004D27E3"/>
    <w:pPr>
      <w:keepNext/>
      <w:spacing w:before="360"/>
    </w:pPr>
    <w:rPr>
      <w:b/>
      <w:bCs/>
      <w:color w:val="AE8C63"/>
      <w:sz w:val="32"/>
      <w:szCs w:val="32"/>
    </w:rPr>
  </w:style>
  <w:style w:type="character" w:customStyle="1" w:styleId="SI-Titolo-1Level1Carattere">
    <w:name w:val="SI - Titolo - 1. Level 1 Carattere"/>
    <w:basedOn w:val="Carpredefinitoparagrafo"/>
    <w:link w:val="SI-Titolo-1Level1"/>
    <w:rsid w:val="004D27E3"/>
    <w:rPr>
      <w:rFonts w:ascii="Verdana" w:hAnsi="Verdana"/>
      <w:b/>
      <w:bCs/>
      <w:color w:val="AE8C63"/>
      <w:sz w:val="32"/>
      <w:szCs w:val="32"/>
      <w:lang w:val="en-GB"/>
    </w:rPr>
  </w:style>
  <w:style w:type="paragraph" w:customStyle="1" w:styleId="SI-ScheduleAllegato">
    <w:name w:val="SI - Schedule (Allegato )"/>
    <w:basedOn w:val="SI-Titolo-1Level1"/>
    <w:next w:val="Normale"/>
    <w:qFormat/>
    <w:rsid w:val="00B657D6"/>
    <w:pPr>
      <w:pageBreakBefore/>
      <w:numPr>
        <w:numId w:val="10"/>
      </w:numPr>
      <w:ind w:left="0" w:firstLine="0"/>
      <w:jc w:val="center"/>
    </w:pPr>
  </w:style>
  <w:style w:type="paragraph" w:customStyle="1" w:styleId="SI-Titolo-11Level2">
    <w:name w:val="SI - Titolo - 1.1.   Level 2"/>
    <w:basedOn w:val="Normale"/>
    <w:next w:val="Normale"/>
    <w:link w:val="SI-Titolo-11Level2Carattere"/>
    <w:qFormat/>
    <w:rsid w:val="004D27E3"/>
    <w:pPr>
      <w:keepNext/>
      <w:pBdr>
        <w:top w:val="single" w:sz="12" w:space="12" w:color="AE8C63"/>
      </w:pBdr>
      <w:spacing w:before="360"/>
    </w:pPr>
    <w:rPr>
      <w:b/>
      <w:bCs/>
      <w:sz w:val="24"/>
      <w:szCs w:val="24"/>
    </w:rPr>
  </w:style>
  <w:style w:type="character" w:customStyle="1" w:styleId="SI-Titolo-11Level2Carattere">
    <w:name w:val="SI - Titolo - 1.1.   Level 2 Carattere"/>
    <w:basedOn w:val="SI-Titolo-1Level1Carattere"/>
    <w:link w:val="SI-Titolo-11Level2"/>
    <w:rsid w:val="004D27E3"/>
    <w:rPr>
      <w:rFonts w:ascii="Verdana" w:hAnsi="Verdana"/>
      <w:b/>
      <w:bCs/>
      <w:color w:val="AE8C63"/>
      <w:sz w:val="24"/>
      <w:szCs w:val="24"/>
      <w:lang w:val="en-GB"/>
    </w:rPr>
  </w:style>
  <w:style w:type="paragraph" w:customStyle="1" w:styleId="SI-Titolo-111Level3">
    <w:name w:val="SI - Titolo - 1.1.1.     Level 3"/>
    <w:basedOn w:val="Normale"/>
    <w:next w:val="Normale"/>
    <w:link w:val="SI-Titolo-111Level3Carattere"/>
    <w:qFormat/>
    <w:rsid w:val="00C97D19"/>
    <w:pPr>
      <w:numPr>
        <w:ilvl w:val="2"/>
        <w:numId w:val="11"/>
      </w:numPr>
      <w:outlineLvl w:val="2"/>
    </w:pPr>
    <w:rPr>
      <w:rFonts w:eastAsia="Times New Roman" w:cs="Open Sans"/>
      <w:bCs/>
      <w:color w:val="000000"/>
      <w:kern w:val="0"/>
      <w14:ligatures w14:val="none"/>
    </w:rPr>
  </w:style>
  <w:style w:type="character" w:customStyle="1" w:styleId="SI-Titolo-111Level3Carattere">
    <w:name w:val="SI - Titolo - 1.1.1.     Level 3 Carattere"/>
    <w:basedOn w:val="Carpredefinitoparagrafo"/>
    <w:link w:val="SI-Titolo-111Level3"/>
    <w:rsid w:val="00C97D19"/>
    <w:rPr>
      <w:rFonts w:ascii="Verdana" w:eastAsia="Times New Roman" w:hAnsi="Verdana" w:cs="Open Sans"/>
      <w:bCs/>
      <w:color w:val="000000"/>
      <w:kern w:val="0"/>
      <w:lang w:val="en-GB"/>
      <w14:ligatures w14:val="none"/>
    </w:rPr>
  </w:style>
  <w:style w:type="paragraph" w:customStyle="1" w:styleId="SI-Titolonoindice">
    <w:name w:val="SI - Titolo (no indice)"/>
    <w:basedOn w:val="Normale"/>
    <w:next w:val="Normale"/>
    <w:rsid w:val="004D27E3"/>
    <w:pPr>
      <w:keepNext/>
      <w:pBdr>
        <w:top w:val="single" w:sz="12" w:space="12" w:color="AE8C63"/>
        <w:bottom w:val="single" w:sz="12" w:space="12" w:color="AE8C63"/>
      </w:pBdr>
    </w:pPr>
    <w:rPr>
      <w:rFonts w:eastAsia="Times New Roman" w:cs="Times New Roman"/>
      <w:b/>
      <w:color w:val="AE8C63"/>
      <w:sz w:val="32"/>
      <w:szCs w:val="32"/>
    </w:rPr>
  </w:style>
  <w:style w:type="character" w:customStyle="1" w:styleId="IntestazioneCarattere">
    <w:name w:val="Intestazione Carattere"/>
    <w:basedOn w:val="Carpredefinitoparagrafo"/>
    <w:link w:val="Intestazione"/>
    <w:uiPriority w:val="99"/>
    <w:semiHidden/>
    <w:rsid w:val="003B2F7A"/>
    <w:rPr>
      <w:rFonts w:ascii="Verdana" w:hAnsi="Verdana"/>
      <w:sz w:val="21"/>
      <w:lang w:val="en-GB"/>
    </w:rPr>
  </w:style>
  <w:style w:type="paragraph" w:styleId="Pidipagina">
    <w:name w:val="footer"/>
    <w:basedOn w:val="Normale"/>
    <w:link w:val="PidipaginaCarattere"/>
    <w:uiPriority w:val="99"/>
    <w:rsid w:val="007A3623"/>
    <w:pPr>
      <w:tabs>
        <w:tab w:val="center" w:pos="4819"/>
        <w:tab w:val="right" w:pos="9638"/>
      </w:tabs>
      <w:spacing w:before="0" w:after="0"/>
    </w:pPr>
  </w:style>
  <w:style w:type="character" w:customStyle="1" w:styleId="PidipaginaCarattere">
    <w:name w:val="Piè di pagina Carattere"/>
    <w:basedOn w:val="Carpredefinitoparagrafo"/>
    <w:link w:val="Pidipagina"/>
    <w:uiPriority w:val="99"/>
    <w:rsid w:val="007A3623"/>
    <w:rPr>
      <w:rFonts w:ascii="Verdana" w:hAnsi="Verdana"/>
      <w:sz w:val="21"/>
    </w:rPr>
  </w:style>
  <w:style w:type="paragraph" w:styleId="Sommario1">
    <w:name w:val="toc 1"/>
    <w:basedOn w:val="Normale"/>
    <w:next w:val="Normale"/>
    <w:uiPriority w:val="39"/>
    <w:rsid w:val="004D27E3"/>
    <w:rPr>
      <w:b/>
      <w:bCs/>
      <w:sz w:val="26"/>
    </w:rPr>
  </w:style>
  <w:style w:type="paragraph" w:styleId="Sommario2">
    <w:name w:val="toc 2"/>
    <w:basedOn w:val="Normale"/>
    <w:next w:val="Normale"/>
    <w:autoRedefine/>
    <w:uiPriority w:val="39"/>
    <w:qFormat/>
    <w:rsid w:val="004D27E3"/>
    <w:pPr>
      <w:numPr>
        <w:numId w:val="12"/>
      </w:numPr>
      <w:tabs>
        <w:tab w:val="right" w:leader="dot" w:pos="9628"/>
      </w:tabs>
      <w:ind w:left="425" w:hanging="425"/>
    </w:pPr>
    <w:rPr>
      <w:iCs/>
      <w:noProof/>
    </w:rPr>
  </w:style>
  <w:style w:type="paragraph" w:styleId="Sommario3">
    <w:name w:val="toc 3"/>
    <w:basedOn w:val="Normale"/>
    <w:next w:val="Normale"/>
    <w:autoRedefine/>
    <w:uiPriority w:val="39"/>
    <w:semiHidden/>
    <w:qFormat/>
    <w:rsid w:val="00EF3A51"/>
    <w:pPr>
      <w:spacing w:before="0" w:after="0"/>
      <w:ind w:left="420"/>
      <w:jc w:val="left"/>
    </w:pPr>
    <w:rPr>
      <w:rFonts w:asciiTheme="minorHAnsi" w:hAnsiTheme="minorHAnsi"/>
    </w:rPr>
  </w:style>
  <w:style w:type="paragraph" w:styleId="Sommario4">
    <w:name w:val="toc 4"/>
    <w:basedOn w:val="Normale"/>
    <w:next w:val="Normale"/>
    <w:autoRedefine/>
    <w:uiPriority w:val="39"/>
    <w:semiHidden/>
    <w:qFormat/>
    <w:rsid w:val="00EF3A51"/>
    <w:pPr>
      <w:spacing w:before="0" w:after="0"/>
      <w:ind w:left="630"/>
      <w:jc w:val="left"/>
    </w:pPr>
    <w:rPr>
      <w:rFonts w:asciiTheme="minorHAnsi" w:hAnsiTheme="minorHAnsi"/>
    </w:rPr>
  </w:style>
  <w:style w:type="paragraph" w:styleId="Sommario5">
    <w:name w:val="toc 5"/>
    <w:basedOn w:val="Normale"/>
    <w:next w:val="Normale"/>
    <w:autoRedefine/>
    <w:uiPriority w:val="39"/>
    <w:semiHidden/>
    <w:rsid w:val="00EF3A51"/>
    <w:pPr>
      <w:spacing w:before="0" w:after="0"/>
      <w:ind w:left="840"/>
      <w:jc w:val="left"/>
    </w:pPr>
    <w:rPr>
      <w:rFonts w:asciiTheme="minorHAnsi" w:hAnsiTheme="minorHAnsi"/>
    </w:rPr>
  </w:style>
  <w:style w:type="paragraph" w:styleId="Sommario6">
    <w:name w:val="toc 6"/>
    <w:basedOn w:val="Normale"/>
    <w:next w:val="Normale"/>
    <w:autoRedefine/>
    <w:uiPriority w:val="39"/>
    <w:semiHidden/>
    <w:rsid w:val="00EF3A51"/>
    <w:pPr>
      <w:spacing w:before="0" w:after="0"/>
      <w:ind w:left="1050"/>
      <w:jc w:val="left"/>
    </w:pPr>
    <w:rPr>
      <w:rFonts w:asciiTheme="minorHAnsi" w:hAnsiTheme="minorHAnsi"/>
    </w:rPr>
  </w:style>
  <w:style w:type="paragraph" w:styleId="Sommario7">
    <w:name w:val="toc 7"/>
    <w:basedOn w:val="Normale"/>
    <w:next w:val="Normale"/>
    <w:autoRedefine/>
    <w:uiPriority w:val="39"/>
    <w:semiHidden/>
    <w:rsid w:val="00EF3A51"/>
    <w:pPr>
      <w:spacing w:before="0" w:after="0"/>
      <w:ind w:left="1260"/>
      <w:jc w:val="left"/>
    </w:pPr>
    <w:rPr>
      <w:rFonts w:asciiTheme="minorHAnsi" w:hAnsiTheme="minorHAnsi"/>
    </w:rPr>
  </w:style>
  <w:style w:type="paragraph" w:styleId="Sommario8">
    <w:name w:val="toc 8"/>
    <w:basedOn w:val="Normale"/>
    <w:next w:val="Normale"/>
    <w:autoRedefine/>
    <w:uiPriority w:val="39"/>
    <w:semiHidden/>
    <w:rsid w:val="00EF3A51"/>
    <w:pPr>
      <w:spacing w:before="0" w:after="0"/>
      <w:ind w:left="1470"/>
      <w:jc w:val="left"/>
    </w:pPr>
    <w:rPr>
      <w:rFonts w:asciiTheme="minorHAnsi" w:hAnsiTheme="minorHAnsi"/>
    </w:rPr>
  </w:style>
  <w:style w:type="paragraph" w:styleId="Sommario9">
    <w:name w:val="toc 9"/>
    <w:basedOn w:val="Normale"/>
    <w:next w:val="Normale"/>
    <w:autoRedefine/>
    <w:uiPriority w:val="39"/>
    <w:semiHidden/>
    <w:rsid w:val="00EF3A51"/>
    <w:pPr>
      <w:spacing w:before="0" w:after="0"/>
      <w:ind w:left="1680"/>
      <w:jc w:val="left"/>
    </w:pPr>
    <w:rPr>
      <w:rFonts w:asciiTheme="minorHAnsi" w:hAnsiTheme="minorHAnsi"/>
    </w:rPr>
  </w:style>
  <w:style w:type="paragraph" w:styleId="Paragrafoelenco">
    <w:name w:val="List Paragraph"/>
    <w:basedOn w:val="Normale"/>
    <w:uiPriority w:val="34"/>
    <w:rsid w:val="003A20D4"/>
    <w:pPr>
      <w:spacing w:line="360" w:lineRule="auto"/>
      <w:contextualSpacing/>
    </w:pPr>
  </w:style>
  <w:style w:type="character" w:styleId="Collegamentoipertestuale">
    <w:name w:val="Hyperlink"/>
    <w:basedOn w:val="Carpredefinitoparagrafo"/>
    <w:uiPriority w:val="99"/>
    <w:semiHidden/>
    <w:rsid w:val="003A01FB"/>
    <w:rPr>
      <w:color w:val="467886" w:themeColor="hyperlink"/>
      <w:u w:val="single"/>
    </w:rPr>
  </w:style>
  <w:style w:type="character" w:styleId="Collegamentovisitato">
    <w:name w:val="FollowedHyperlink"/>
    <w:basedOn w:val="Carpredefinitoparagrafo"/>
    <w:uiPriority w:val="99"/>
    <w:semiHidden/>
    <w:rsid w:val="003A01FB"/>
    <w:rPr>
      <w:color w:val="96607D" w:themeColor="followedHyperlink"/>
      <w:u w:val="single"/>
    </w:rPr>
  </w:style>
  <w:style w:type="paragraph" w:styleId="NormaleWeb">
    <w:name w:val="Normal (Web)"/>
    <w:basedOn w:val="Normale"/>
    <w:uiPriority w:val="99"/>
    <w:semiHidden/>
    <w:rsid w:val="00F03B3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208742">
      <w:bodyDiv w:val="1"/>
      <w:marLeft w:val="0"/>
      <w:marRight w:val="0"/>
      <w:marTop w:val="0"/>
      <w:marBottom w:val="0"/>
      <w:divBdr>
        <w:top w:val="none" w:sz="0" w:space="0" w:color="auto"/>
        <w:left w:val="none" w:sz="0" w:space="0" w:color="auto"/>
        <w:bottom w:val="none" w:sz="0" w:space="0" w:color="auto"/>
        <w:right w:val="none" w:sz="0" w:space="0" w:color="auto"/>
      </w:divBdr>
    </w:div>
    <w:div w:id="392241081">
      <w:bodyDiv w:val="1"/>
      <w:marLeft w:val="0"/>
      <w:marRight w:val="0"/>
      <w:marTop w:val="0"/>
      <w:marBottom w:val="0"/>
      <w:divBdr>
        <w:top w:val="none" w:sz="0" w:space="0" w:color="auto"/>
        <w:left w:val="none" w:sz="0" w:space="0" w:color="auto"/>
        <w:bottom w:val="none" w:sz="0" w:space="0" w:color="auto"/>
        <w:right w:val="none" w:sz="0" w:space="0" w:color="auto"/>
      </w:divBdr>
    </w:div>
    <w:div w:id="501316127">
      <w:bodyDiv w:val="1"/>
      <w:marLeft w:val="0"/>
      <w:marRight w:val="0"/>
      <w:marTop w:val="0"/>
      <w:marBottom w:val="0"/>
      <w:divBdr>
        <w:top w:val="none" w:sz="0" w:space="0" w:color="auto"/>
        <w:left w:val="none" w:sz="0" w:space="0" w:color="auto"/>
        <w:bottom w:val="none" w:sz="0" w:space="0" w:color="auto"/>
        <w:right w:val="none" w:sz="0" w:space="0" w:color="auto"/>
      </w:divBdr>
    </w:div>
    <w:div w:id="1422679037">
      <w:bodyDiv w:val="1"/>
      <w:marLeft w:val="0"/>
      <w:marRight w:val="0"/>
      <w:marTop w:val="0"/>
      <w:marBottom w:val="0"/>
      <w:divBdr>
        <w:top w:val="none" w:sz="0" w:space="0" w:color="auto"/>
        <w:left w:val="none" w:sz="0" w:space="0" w:color="auto"/>
        <w:bottom w:val="none" w:sz="0" w:space="0" w:color="auto"/>
        <w:right w:val="none" w:sz="0" w:space="0" w:color="auto"/>
      </w:divBdr>
    </w:div>
    <w:div w:id="1556699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dropbox.com/scl/fi/2hh9h6syzts8hqwpf1f4d/Self-Storage.pdf?rlkey=x2d87vmo4g9zps7hy32wrc81p&amp;st=9k5e4v21&amp;dl=0" TargetMode="External"/><Relationship Id="rId18" Type="http://schemas.openxmlformats.org/officeDocument/2006/relationships/hyperlink" Target="https://www.comune.milano.it/w/procedimento-di-verifica-di-assoggettabilit%C3%A0-a-vas-per-la-proposta-di-parziale-variante-normativa-delle-norme-di-attuazione-del-piano-delle-regole-e-del-piano-dei-servizi-del-vigente-pgt.-comunicazione-di-messa-a-disposizione-del-rapporto-preliminare" TargetMode="External"/><Relationship Id="rId3" Type="http://schemas.openxmlformats.org/officeDocument/2006/relationships/styles" Target="styles.xml"/><Relationship Id="rId21" Type="http://schemas.openxmlformats.org/officeDocument/2006/relationships/hyperlink" Target="https://mdp.giustizia-amministrativa.it/visualizza/?nodeRef=&amp;schema=tar_mi&amp;nrg=202504389&amp;nomeFile=202603495_01.html&amp;subDir=Provvedimenti"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www.studioinzaghi.com/en/new-milan-pgt-guidelines-approved-for-the-launch-of-the-partial-amendment/"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studioinzaghi.com/wp-content/uploads/2026/08/allegato-3-nta-articoli-modificati-2.pdf" TargetMode="External"/><Relationship Id="rId20" Type="http://schemas.openxmlformats.org/officeDocument/2006/relationships/hyperlink" Target="https://www.studioinzaghi.com/wp-content/uploads/2026/07/nota-a-roma-capitale-su-variante-prg.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studioinzaghi.com/wp-content/uploads/2026/09/delg_1071_2026_linee-guida-opere-pubbliche.pdf" TargetMode="External"/><Relationship Id="rId23" Type="http://schemas.openxmlformats.org/officeDocument/2006/relationships/footer" Target="footer3.xml"/><Relationship Id="rId10" Type="http://schemas.openxmlformats.org/officeDocument/2006/relationships/footer" Target="footer2.xml"/><Relationship Id="rId19" Type="http://schemas.openxmlformats.org/officeDocument/2006/relationships/hyperlink" Target="https://www.comune.milano.it/documents/20118/1524875/Deliberazione+della+Giunta+Comunale+n.+932+del+9+luglio+2026.pdf/39977923-0182-afea-705e-4481de1326c5?version=1.1&amp;t=1787820082698&amp;download=true"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studioinzaghi.com/wp-content/uploads/2026/09/dl_piano_casa_def.pdf" TargetMode="External"/><Relationship Id="rId22" Type="http://schemas.openxmlformats.org/officeDocument/2006/relationships/header" Target="header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iaraMotti\AppData\Roaming\Microsoft\Templates\SI.%20Real%20Estate%20-%20News%20(eng)%20v1.0.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A69743-81EF-7B4F-B4EE-80BC02B80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 Real Estate - News (eng) v1.0</Template>
  <TotalTime>0</TotalTime>
  <Pages>20</Pages>
  <Words>7321</Words>
  <Characters>41734</Characters>
  <Application>Microsoft Office Word</Application>
  <DocSecurity>0</DocSecurity>
  <Lines>347</Lines>
  <Paragraphs>97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48958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Margherita Gattulli</dc:creator>
  <cp:keywords/>
  <dc:description/>
  <cp:lastModifiedBy>Chiara Motti</cp:lastModifiedBy>
  <cp:revision>26</cp:revision>
  <cp:lastPrinted>2025-05-15T14:13:00Z</cp:lastPrinted>
  <dcterms:created xsi:type="dcterms:W3CDTF">2026-10-30T08:10:00Z</dcterms:created>
  <dcterms:modified xsi:type="dcterms:W3CDTF">2026-11-02T09:20:00Z</dcterms:modified>
</cp:coreProperties>
</file>