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5C82" w14:textId="77777777" w:rsidR="00B57888" w:rsidRPr="00A16EC7" w:rsidRDefault="00B57888" w:rsidP="00B57888">
      <w:pPr>
        <w:sectPr w:rsidR="00B57888" w:rsidRPr="00A16EC7" w:rsidSect="00F34D63">
          <w:headerReference w:type="default" r:id="rId8"/>
          <w:footerReference w:type="default" r:id="rId9"/>
          <w:footerReference w:type="first" r:id="rId10"/>
          <w:type w:val="continuous"/>
          <w:pgSz w:w="11906" w:h="16838"/>
          <w:pgMar w:top="1843" w:right="1134" w:bottom="1134" w:left="1134" w:header="851" w:footer="208" w:gutter="0"/>
          <w:cols w:space="708"/>
          <w:docGrid w:linePitch="360"/>
        </w:sectPr>
      </w:pPr>
      <w:r w:rsidRPr="00A16EC7">
        <w:rPr>
          <w:noProof/>
        </w:rPr>
        <mc:AlternateContent>
          <mc:Choice Requires="wps">
            <w:drawing>
              <wp:anchor distT="0" distB="0" distL="114300" distR="114300" simplePos="0" relativeHeight="251786752" behindDoc="0" locked="0" layoutInCell="1" allowOverlap="1" wp14:anchorId="688531C3" wp14:editId="58D2FEC6">
                <wp:simplePos x="0" y="0"/>
                <wp:positionH relativeFrom="margin">
                  <wp:posOffset>3646121</wp:posOffset>
                </wp:positionH>
                <wp:positionV relativeFrom="paragraph">
                  <wp:posOffset>4012516</wp:posOffset>
                </wp:positionV>
                <wp:extent cx="2679700" cy="4206240"/>
                <wp:effectExtent l="0" t="0" r="0" b="3810"/>
                <wp:wrapNone/>
                <wp:docPr id="805882052" name="Casella di testo 2"/>
                <wp:cNvGraphicFramePr/>
                <a:graphic xmlns:a="http://schemas.openxmlformats.org/drawingml/2006/main">
                  <a:graphicData uri="http://schemas.microsoft.com/office/word/2010/wordprocessingShape">
                    <wps:wsp>
                      <wps:cNvSpPr txBox="1"/>
                      <wps:spPr>
                        <a:xfrm>
                          <a:off x="0" y="0"/>
                          <a:ext cx="2679700" cy="4206240"/>
                        </a:xfrm>
                        <a:prstGeom prst="rect">
                          <a:avLst/>
                        </a:prstGeom>
                        <a:noFill/>
                        <a:ln w="6350">
                          <a:noFill/>
                        </a:ln>
                      </wps:spPr>
                      <wps:txbx>
                        <w:txbxContent>
                          <w:p w14:paraId="57A8E620" w14:textId="77777777" w:rsidR="00B57888" w:rsidRPr="00A16EC7" w:rsidRDefault="00B57888" w:rsidP="00B57888">
                            <w:pPr>
                              <w:tabs>
                                <w:tab w:val="left" w:pos="3522"/>
                              </w:tabs>
                              <w:spacing w:before="0" w:after="0" w:line="240" w:lineRule="auto"/>
                              <w:jc w:val="left"/>
                              <w:rPr>
                                <w:color w:val="AF8C62"/>
                                <w:sz w:val="26"/>
                                <w:szCs w:val="26"/>
                              </w:rPr>
                            </w:pPr>
                            <w:r w:rsidRPr="00A16EC7">
                              <w:rPr>
                                <w:b/>
                                <w:bCs/>
                                <w:color w:val="AF8C62"/>
                                <w:sz w:val="26"/>
                                <w:szCs w:val="26"/>
                              </w:rPr>
                              <w:t>Highlights</w:t>
                            </w:r>
                          </w:p>
                          <w:p w14:paraId="0591459A" w14:textId="77777777" w:rsidR="00B57888" w:rsidRPr="00A16EC7" w:rsidRDefault="00B57888" w:rsidP="00B57888">
                            <w:pPr>
                              <w:tabs>
                                <w:tab w:val="left" w:pos="3522"/>
                              </w:tabs>
                              <w:spacing w:before="0" w:after="0" w:line="240" w:lineRule="auto"/>
                              <w:jc w:val="left"/>
                              <w:rPr>
                                <w:color w:val="FFFFFF" w:themeColor="background1"/>
                                <w:sz w:val="26"/>
                                <w:szCs w:val="26"/>
                              </w:rPr>
                            </w:pPr>
                          </w:p>
                          <w:p w14:paraId="3127CE9B" w14:textId="745D34CB" w:rsidR="00B57888" w:rsidRPr="00A16EC7" w:rsidRDefault="00CE0784" w:rsidP="00B57888">
                            <w:pPr>
                              <w:tabs>
                                <w:tab w:val="left" w:pos="3522"/>
                              </w:tabs>
                              <w:spacing w:before="0" w:after="0" w:line="240" w:lineRule="auto"/>
                              <w:jc w:val="left"/>
                              <w:rPr>
                                <w:color w:val="FFFFFF" w:themeColor="background1"/>
                                <w:sz w:val="26"/>
                                <w:szCs w:val="26"/>
                              </w:rPr>
                            </w:pPr>
                            <w:r w:rsidRPr="00CE0784">
                              <w:rPr>
                                <w:color w:val="FFFFFF" w:themeColor="background1"/>
                                <w:sz w:val="26"/>
                                <w:szCs w:val="26"/>
                              </w:rPr>
                              <w:t>Fondi immobiliari: l’apporto di immobili è soggetto a imposta di registro in misura fissa a prescindere dalla tipologia di immobili</w:t>
                            </w:r>
                          </w:p>
                          <w:p w14:paraId="5F2DE9D9" w14:textId="77777777" w:rsidR="00B57888" w:rsidRPr="00A16EC7" w:rsidRDefault="00B57888" w:rsidP="00B57888">
                            <w:pPr>
                              <w:tabs>
                                <w:tab w:val="left" w:pos="3522"/>
                              </w:tabs>
                              <w:spacing w:before="0" w:after="0" w:line="240" w:lineRule="auto"/>
                              <w:jc w:val="left"/>
                              <w:rPr>
                                <w:color w:val="FFFFFF" w:themeColor="background1"/>
                                <w:sz w:val="26"/>
                                <w:szCs w:val="26"/>
                                <w:highlight w:val="yellow"/>
                              </w:rPr>
                            </w:pPr>
                          </w:p>
                          <w:p w14:paraId="2DFFCB26" w14:textId="0BD85B13" w:rsidR="00B57888" w:rsidRPr="00A16EC7" w:rsidRDefault="002F726B" w:rsidP="00B57888">
                            <w:pPr>
                              <w:tabs>
                                <w:tab w:val="left" w:pos="3522"/>
                              </w:tabs>
                              <w:spacing w:before="0" w:after="0" w:line="240" w:lineRule="auto"/>
                              <w:jc w:val="left"/>
                              <w:rPr>
                                <w:color w:val="FFFFFF" w:themeColor="background1"/>
                                <w:sz w:val="26"/>
                                <w:szCs w:val="26"/>
                              </w:rPr>
                            </w:pPr>
                            <w:r w:rsidRPr="002F726B">
                              <w:rPr>
                                <w:color w:val="FFFFFF" w:themeColor="background1"/>
                                <w:sz w:val="26"/>
                                <w:szCs w:val="26"/>
                              </w:rPr>
                              <w:t>Storage in Italia: le sfide normative di un settore in crescita</w:t>
                            </w:r>
                          </w:p>
                          <w:p w14:paraId="49213D9B" w14:textId="7ABEC1B7" w:rsidR="00B57888" w:rsidRDefault="00B57888" w:rsidP="00B57888">
                            <w:pPr>
                              <w:tabs>
                                <w:tab w:val="left" w:pos="3522"/>
                              </w:tabs>
                              <w:spacing w:before="0" w:after="0" w:line="240" w:lineRule="auto"/>
                              <w:jc w:val="left"/>
                              <w:rPr>
                                <w:color w:val="FFFFFF" w:themeColor="background1"/>
                                <w:sz w:val="26"/>
                                <w:szCs w:val="26"/>
                              </w:rPr>
                            </w:pPr>
                          </w:p>
                          <w:p w14:paraId="292432B9" w14:textId="62FC3231" w:rsidR="002F726B" w:rsidRPr="00A16EC7" w:rsidRDefault="00B43D34" w:rsidP="00B57888">
                            <w:pPr>
                              <w:tabs>
                                <w:tab w:val="left" w:pos="3522"/>
                              </w:tabs>
                              <w:spacing w:before="0" w:after="0" w:line="240" w:lineRule="auto"/>
                              <w:jc w:val="left"/>
                              <w:rPr>
                                <w:color w:val="FFFFFF" w:themeColor="background1"/>
                                <w:sz w:val="26"/>
                                <w:szCs w:val="26"/>
                              </w:rPr>
                            </w:pPr>
                            <w:r w:rsidRPr="00B43D34">
                              <w:rPr>
                                <w:color w:val="FFFFFF" w:themeColor="background1"/>
                                <w:sz w:val="26"/>
                                <w:szCs w:val="26"/>
                              </w:rPr>
                              <w:t>Compravendita immobiliare, vincoli urbanistici e mancata dichiarazione nel contratto preliminare: la responsabilità del promittente venditore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531C3" id="_x0000_t202" coordsize="21600,21600" o:spt="202" path="m,l,21600r21600,l21600,xe">
                <v:stroke joinstyle="miter"/>
                <v:path gradientshapeok="t" o:connecttype="rect"/>
              </v:shapetype>
              <v:shape id="Casella di testo 2" o:spid="_x0000_s1026" type="#_x0000_t202" style="position:absolute;left:0;text-align:left;margin-left:287.1pt;margin-top:315.95pt;width:211pt;height:331.2pt;z-index:2517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" filled="f" stroked="f" strokeweight=".5pt">
                <v:textbox>
                  <w:txbxContent>
                    <w:p w14:paraId="57A8E620" w14:textId="77777777" w:rsidR="00B57888" w:rsidRPr="00A16EC7" w:rsidRDefault="00B57888" w:rsidP="00B57888">
                      <w:pPr>
                        <w:tabs>
                          <w:tab w:val="left" w:pos="3522"/>
                        </w:tabs>
                        <w:spacing w:before="0" w:after="0" w:line="240" w:lineRule="auto"/>
                        <w:jc w:val="left"/>
                        <w:rPr>
                          <w:color w:val="AF8C62"/>
                          <w:sz w:val="26"/>
                          <w:szCs w:val="26"/>
                        </w:rPr>
                      </w:pPr>
                      <w:r w:rsidRPr="00A16EC7">
                        <w:rPr>
                          <w:b/>
                          <w:bCs/>
                          <w:color w:val="AF8C62"/>
                          <w:sz w:val="26"/>
                          <w:szCs w:val="26"/>
                        </w:rPr>
                        <w:t>Highlights</w:t>
                      </w:r>
                    </w:p>
                    <w:p w14:paraId="0591459A" w14:textId="77777777" w:rsidR="00B57888" w:rsidRPr="00A16EC7" w:rsidRDefault="00B57888" w:rsidP="00B57888">
                      <w:pPr>
                        <w:tabs>
                          <w:tab w:val="left" w:pos="3522"/>
                        </w:tabs>
                        <w:spacing w:before="0" w:after="0" w:line="240" w:lineRule="auto"/>
                        <w:jc w:val="left"/>
                        <w:rPr>
                          <w:color w:val="FFFFFF" w:themeColor="background1"/>
                          <w:sz w:val="26"/>
                          <w:szCs w:val="26"/>
                        </w:rPr>
                      </w:pPr>
                    </w:p>
                    <w:p w14:paraId="3127CE9B" w14:textId="745D34CB" w:rsidR="00B57888" w:rsidRPr="00A16EC7" w:rsidRDefault="00CE0784" w:rsidP="00B57888">
                      <w:pPr>
                        <w:tabs>
                          <w:tab w:val="left" w:pos="3522"/>
                        </w:tabs>
                        <w:spacing w:before="0" w:after="0" w:line="240" w:lineRule="auto"/>
                        <w:jc w:val="left"/>
                        <w:rPr>
                          <w:color w:val="FFFFFF" w:themeColor="background1"/>
                          <w:sz w:val="26"/>
                          <w:szCs w:val="26"/>
                        </w:rPr>
                      </w:pPr>
                      <w:r w:rsidRPr="00CE0784">
                        <w:rPr>
                          <w:color w:val="FFFFFF" w:themeColor="background1"/>
                          <w:sz w:val="26"/>
                          <w:szCs w:val="26"/>
                        </w:rPr>
                        <w:t>Fondi immobiliari: l’apporto di immobili è soggetto a imposta di registro in misura fissa a prescindere dalla tipologia di immobili</w:t>
                      </w:r>
                    </w:p>
                    <w:p w14:paraId="5F2DE9D9" w14:textId="77777777" w:rsidR="00B57888" w:rsidRPr="00A16EC7" w:rsidRDefault="00B57888" w:rsidP="00B57888">
                      <w:pPr>
                        <w:tabs>
                          <w:tab w:val="left" w:pos="3522"/>
                        </w:tabs>
                        <w:spacing w:before="0" w:after="0" w:line="240" w:lineRule="auto"/>
                        <w:jc w:val="left"/>
                        <w:rPr>
                          <w:color w:val="FFFFFF" w:themeColor="background1"/>
                          <w:sz w:val="26"/>
                          <w:szCs w:val="26"/>
                          <w:highlight w:val="yellow"/>
                        </w:rPr>
                      </w:pPr>
                    </w:p>
                    <w:p w14:paraId="2DFFCB26" w14:textId="0BD85B13" w:rsidR="00B57888" w:rsidRPr="00A16EC7" w:rsidRDefault="002F726B" w:rsidP="00B57888">
                      <w:pPr>
                        <w:tabs>
                          <w:tab w:val="left" w:pos="3522"/>
                        </w:tabs>
                        <w:spacing w:before="0" w:after="0" w:line="240" w:lineRule="auto"/>
                        <w:jc w:val="left"/>
                        <w:rPr>
                          <w:color w:val="FFFFFF" w:themeColor="background1"/>
                          <w:sz w:val="26"/>
                          <w:szCs w:val="26"/>
                        </w:rPr>
                      </w:pPr>
                      <w:r w:rsidRPr="002F726B">
                        <w:rPr>
                          <w:color w:val="FFFFFF" w:themeColor="background1"/>
                          <w:sz w:val="26"/>
                          <w:szCs w:val="26"/>
                        </w:rPr>
                        <w:t>Storage in Italia: le sfide normative di un settore in crescita</w:t>
                      </w:r>
                    </w:p>
                    <w:p w14:paraId="49213D9B" w14:textId="7ABEC1B7" w:rsidR="00B57888" w:rsidRDefault="00B57888" w:rsidP="00B57888">
                      <w:pPr>
                        <w:tabs>
                          <w:tab w:val="left" w:pos="3522"/>
                        </w:tabs>
                        <w:spacing w:before="0" w:after="0" w:line="240" w:lineRule="auto"/>
                        <w:jc w:val="left"/>
                        <w:rPr>
                          <w:color w:val="FFFFFF" w:themeColor="background1"/>
                          <w:sz w:val="26"/>
                          <w:szCs w:val="26"/>
                        </w:rPr>
                      </w:pPr>
                    </w:p>
                    <w:p w14:paraId="292432B9" w14:textId="62FC3231" w:rsidR="002F726B" w:rsidRPr="00A16EC7" w:rsidRDefault="00B43D34" w:rsidP="00B57888">
                      <w:pPr>
                        <w:tabs>
                          <w:tab w:val="left" w:pos="3522"/>
                        </w:tabs>
                        <w:spacing w:before="0" w:after="0" w:line="240" w:lineRule="auto"/>
                        <w:jc w:val="left"/>
                        <w:rPr>
                          <w:color w:val="FFFFFF" w:themeColor="background1"/>
                          <w:sz w:val="26"/>
                          <w:szCs w:val="26"/>
                        </w:rPr>
                      </w:pPr>
                      <w:r w:rsidRPr="00B43D34">
                        <w:rPr>
                          <w:color w:val="FFFFFF" w:themeColor="background1"/>
                          <w:sz w:val="26"/>
                          <w:szCs w:val="26"/>
                        </w:rPr>
                        <w:t>Compravendita immobiliare, vincoli urbanistici e mancata dichiarazione nel contratto preliminare: la responsabilità del promittente venditore</w:t>
                      </w:r>
                    </w:p>
                  </w:txbxContent>
                </v:textbox>
                <w10:wrap anchorx="margin"/>
              </v:shape>
            </w:pict>
          </mc:Fallback>
        </mc:AlternateContent>
      </w:r>
      <w:r w:rsidRPr="00A16EC7">
        <w:rPr>
          <w:noProof/>
        </w:rPr>
        <mc:AlternateContent>
          <mc:Choice Requires="wps">
            <w:drawing>
              <wp:anchor distT="0" distB="0" distL="114300" distR="114300" simplePos="0" relativeHeight="251757056" behindDoc="0" locked="0" layoutInCell="1" allowOverlap="1" wp14:anchorId="3184D237" wp14:editId="4F814B1E">
                <wp:simplePos x="0" y="0"/>
                <wp:positionH relativeFrom="page">
                  <wp:posOffset>4367139</wp:posOffset>
                </wp:positionH>
                <wp:positionV relativeFrom="paragraph">
                  <wp:posOffset>2445971</wp:posOffset>
                </wp:positionV>
                <wp:extent cx="2679700" cy="1327150"/>
                <wp:effectExtent l="0" t="0" r="0" b="6350"/>
                <wp:wrapNone/>
                <wp:docPr id="1109432715" name="Casella di testo 2"/>
                <wp:cNvGraphicFramePr/>
                <a:graphic xmlns:a="http://schemas.openxmlformats.org/drawingml/2006/main">
                  <a:graphicData uri="http://schemas.microsoft.com/office/word/2010/wordprocessingShape">
                    <wps:wsp>
                      <wps:cNvSpPr txBox="1"/>
                      <wps:spPr>
                        <a:xfrm>
                          <a:off x="0" y="0"/>
                          <a:ext cx="2679700" cy="1327150"/>
                        </a:xfrm>
                        <a:prstGeom prst="rect">
                          <a:avLst/>
                        </a:prstGeom>
                        <a:noFill/>
                        <a:ln w="6350">
                          <a:noFill/>
                        </a:ln>
                      </wps:spPr>
                      <wps:txbx>
                        <w:txbxContent>
                          <w:p w14:paraId="4B530073" w14:textId="77777777" w:rsidR="00B57888" w:rsidRPr="00A16EC7" w:rsidRDefault="009C4F8D" w:rsidP="00B57888">
                            <w:pPr>
                              <w:tabs>
                                <w:tab w:val="left" w:pos="3522"/>
                              </w:tabs>
                              <w:spacing w:before="0" w:after="0"/>
                              <w:rPr>
                                <w:color w:val="FFFFFF" w:themeColor="background1"/>
                                <w:sz w:val="28"/>
                                <w:szCs w:val="28"/>
                              </w:rPr>
                            </w:pPr>
                            <w:r w:rsidRPr="00A16EC7">
                              <w:rPr>
                                <w:color w:val="FFFFFF" w:themeColor="background1"/>
                                <w:sz w:val="28"/>
                                <w:szCs w:val="28"/>
                              </w:rPr>
                              <w:t>Rassegna</w:t>
                            </w:r>
                            <w:r w:rsidRPr="00A16EC7">
                              <w:rPr>
                                <w:color w:val="FFFFFF" w:themeColor="background1"/>
                                <w:sz w:val="28"/>
                                <w:szCs w:val="28"/>
                              </w:rPr>
                              <w:br/>
                              <w:t>trimestrale</w:t>
                            </w:r>
                            <w:r w:rsidR="00B57888" w:rsidRPr="00A16EC7">
                              <w:rPr>
                                <w:color w:val="FFFFFF" w:themeColor="background1"/>
                                <w:sz w:val="28"/>
                                <w:szCs w:val="28"/>
                              </w:rPr>
                              <w:t xml:space="preserve"> </w:t>
                            </w:r>
                          </w:p>
                          <w:p w14:paraId="4A45158B" w14:textId="77777777" w:rsidR="00B57888" w:rsidRPr="00A16EC7" w:rsidRDefault="00B57888" w:rsidP="00B57888">
                            <w:pPr>
                              <w:tabs>
                                <w:tab w:val="left" w:pos="3522"/>
                              </w:tabs>
                              <w:spacing w:before="0" w:after="0"/>
                              <w:rPr>
                                <w:color w:val="FFFFFF" w:themeColor="background1"/>
                                <w:sz w:val="16"/>
                                <w:szCs w:val="16"/>
                              </w:rPr>
                            </w:pPr>
                          </w:p>
                          <w:p w14:paraId="57584033" w14:textId="36E59E46" w:rsidR="00B57888" w:rsidRPr="00A16EC7" w:rsidRDefault="00B57888" w:rsidP="00B57888">
                            <w:pPr>
                              <w:tabs>
                                <w:tab w:val="left" w:pos="3522"/>
                              </w:tabs>
                              <w:spacing w:before="0" w:after="0"/>
                              <w:rPr>
                                <w:color w:val="FFFFFF" w:themeColor="background1"/>
                                <w:sz w:val="40"/>
                                <w:szCs w:val="40"/>
                              </w:rPr>
                            </w:pPr>
                            <w:r w:rsidRPr="00A16EC7">
                              <w:rPr>
                                <w:b/>
                                <w:bCs/>
                                <w:color w:val="FFFFFF" w:themeColor="background1"/>
                                <w:sz w:val="40"/>
                                <w:szCs w:val="40"/>
                              </w:rPr>
                              <w:t>n.</w:t>
                            </w:r>
                            <w:r w:rsidR="002E1ABF">
                              <w:rPr>
                                <w:b/>
                                <w:bCs/>
                                <w:color w:val="FFFFFF" w:themeColor="background1"/>
                                <w:sz w:val="40"/>
                                <w:szCs w:val="40"/>
                              </w:rPr>
                              <w:t>9</w:t>
                            </w:r>
                          </w:p>
                          <w:p w14:paraId="6FA3C209" w14:textId="2B72E8E6" w:rsidR="00B57888" w:rsidRPr="00A16EC7" w:rsidRDefault="002E1ABF" w:rsidP="00B57888">
                            <w:pPr>
                              <w:tabs>
                                <w:tab w:val="left" w:pos="3522"/>
                              </w:tabs>
                              <w:spacing w:before="0" w:after="0"/>
                              <w:rPr>
                                <w:color w:val="AF8C64"/>
                                <w:sz w:val="28"/>
                                <w:szCs w:val="28"/>
                              </w:rPr>
                            </w:pPr>
                            <w:r>
                              <w:rPr>
                                <w:color w:val="FFFFFF" w:themeColor="background1"/>
                                <w:sz w:val="28"/>
                                <w:szCs w:val="28"/>
                              </w:rPr>
                              <w:t>Ottobre</w:t>
                            </w:r>
                            <w:r w:rsidR="00B57888" w:rsidRPr="00A16EC7">
                              <w:rPr>
                                <w:b/>
                                <w:bCs/>
                                <w:color w:val="FFFFFF" w:themeColor="background1"/>
                                <w:sz w:val="28"/>
                                <w:szCs w:val="28"/>
                              </w:rPr>
                              <w:t xml:space="preserve"> </w:t>
                            </w:r>
                            <w:r w:rsidR="00B57888" w:rsidRPr="00A16EC7">
                              <w:rPr>
                                <w:color w:val="AF8C64"/>
                                <w:sz w:val="28"/>
                                <w:szCs w:val="28"/>
                              </w:rPr>
                              <w:t>2026</w:t>
                            </w:r>
                          </w:p>
                          <w:p w14:paraId="7857C77B" w14:textId="77777777" w:rsidR="00B57888" w:rsidRPr="00A16EC7" w:rsidRDefault="00B57888" w:rsidP="00B57888">
                            <w:pPr>
                              <w:tabs>
                                <w:tab w:val="left" w:pos="3522"/>
                              </w:tabs>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4D237" id="_x0000_s1027" type="#_x0000_t202" style="position:absolute;left:0;text-align:left;margin-left:343.85pt;margin-top:192.6pt;width:211pt;height:104.5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" filled="f" stroked="f" strokeweight=".5pt">
                <v:textbox>
                  <w:txbxContent>
                    <w:p w14:paraId="4B530073" w14:textId="77777777" w:rsidR="00B57888" w:rsidRPr="00A16EC7" w:rsidRDefault="009C4F8D" w:rsidP="00B57888">
                      <w:pPr>
                        <w:tabs>
                          <w:tab w:val="left" w:pos="3522"/>
                        </w:tabs>
                        <w:spacing w:before="0" w:after="0"/>
                        <w:rPr>
                          <w:color w:val="FFFFFF" w:themeColor="background1"/>
                          <w:sz w:val="28"/>
                          <w:szCs w:val="28"/>
                        </w:rPr>
                      </w:pPr>
                      <w:r w:rsidRPr="00A16EC7">
                        <w:rPr>
                          <w:color w:val="FFFFFF" w:themeColor="background1"/>
                          <w:sz w:val="28"/>
                          <w:szCs w:val="28"/>
                        </w:rPr>
                        <w:t>Rassegna</w:t>
                      </w:r>
                      <w:r w:rsidRPr="00A16EC7">
                        <w:rPr>
                          <w:color w:val="FFFFFF" w:themeColor="background1"/>
                          <w:sz w:val="28"/>
                          <w:szCs w:val="28"/>
                        </w:rPr>
                        <w:br/>
                        <w:t>trimestrale</w:t>
                      </w:r>
                      <w:r w:rsidR="00B57888" w:rsidRPr="00A16EC7">
                        <w:rPr>
                          <w:color w:val="FFFFFF" w:themeColor="background1"/>
                          <w:sz w:val="28"/>
                          <w:szCs w:val="28"/>
                        </w:rPr>
                        <w:t xml:space="preserve"> </w:t>
                      </w:r>
                    </w:p>
                    <w:p w14:paraId="4A45158B" w14:textId="77777777" w:rsidR="00B57888" w:rsidRPr="00A16EC7" w:rsidRDefault="00B57888" w:rsidP="00B57888">
                      <w:pPr>
                        <w:tabs>
                          <w:tab w:val="left" w:pos="3522"/>
                        </w:tabs>
                        <w:spacing w:before="0" w:after="0"/>
                        <w:rPr>
                          <w:color w:val="FFFFFF" w:themeColor="background1"/>
                          <w:sz w:val="16"/>
                          <w:szCs w:val="16"/>
                        </w:rPr>
                      </w:pPr>
                    </w:p>
                    <w:p w14:paraId="57584033" w14:textId="36E59E46" w:rsidR="00B57888" w:rsidRPr="00A16EC7" w:rsidRDefault="00B57888" w:rsidP="00B57888">
                      <w:pPr>
                        <w:tabs>
                          <w:tab w:val="left" w:pos="3522"/>
                        </w:tabs>
                        <w:spacing w:before="0" w:after="0"/>
                        <w:rPr>
                          <w:color w:val="FFFFFF" w:themeColor="background1"/>
                          <w:sz w:val="40"/>
                          <w:szCs w:val="40"/>
                        </w:rPr>
                      </w:pPr>
                      <w:r w:rsidRPr="00A16EC7">
                        <w:rPr>
                          <w:b/>
                          <w:bCs/>
                          <w:color w:val="FFFFFF" w:themeColor="background1"/>
                          <w:sz w:val="40"/>
                          <w:szCs w:val="40"/>
                        </w:rPr>
                        <w:t>n.</w:t>
                      </w:r>
                      <w:r w:rsidR="002E1ABF">
                        <w:rPr>
                          <w:b/>
                          <w:bCs/>
                          <w:color w:val="FFFFFF" w:themeColor="background1"/>
                          <w:sz w:val="40"/>
                          <w:szCs w:val="40"/>
                        </w:rPr>
                        <w:t>9</w:t>
                      </w:r>
                    </w:p>
                    <w:p w14:paraId="6FA3C209" w14:textId="2B72E8E6" w:rsidR="00B57888" w:rsidRPr="00A16EC7" w:rsidRDefault="002E1ABF" w:rsidP="00B57888">
                      <w:pPr>
                        <w:tabs>
                          <w:tab w:val="left" w:pos="3522"/>
                        </w:tabs>
                        <w:spacing w:before="0" w:after="0"/>
                        <w:rPr>
                          <w:color w:val="AF8C64"/>
                          <w:sz w:val="28"/>
                          <w:szCs w:val="28"/>
                        </w:rPr>
                      </w:pPr>
                      <w:r>
                        <w:rPr>
                          <w:color w:val="FFFFFF" w:themeColor="background1"/>
                          <w:sz w:val="28"/>
                          <w:szCs w:val="28"/>
                        </w:rPr>
                        <w:t>Ottobre</w:t>
                      </w:r>
                      <w:r w:rsidR="00B57888" w:rsidRPr="00A16EC7">
                        <w:rPr>
                          <w:b/>
                          <w:bCs/>
                          <w:color w:val="FFFFFF" w:themeColor="background1"/>
                          <w:sz w:val="28"/>
                          <w:szCs w:val="28"/>
                        </w:rPr>
                        <w:t xml:space="preserve"> </w:t>
                      </w:r>
                      <w:r w:rsidR="00B57888" w:rsidRPr="00A16EC7">
                        <w:rPr>
                          <w:color w:val="AF8C64"/>
                          <w:sz w:val="28"/>
                          <w:szCs w:val="28"/>
                        </w:rPr>
                        <w:t>2026</w:t>
                      </w:r>
                    </w:p>
                    <w:p w14:paraId="7857C77B" w14:textId="77777777" w:rsidR="00B57888" w:rsidRPr="00A16EC7" w:rsidRDefault="00B57888" w:rsidP="00B57888">
                      <w:pPr>
                        <w:tabs>
                          <w:tab w:val="left" w:pos="3522"/>
                        </w:tabs>
                        <w:rPr>
                          <w:color w:val="FFFFFF" w:themeColor="background1"/>
                          <w:sz w:val="28"/>
                          <w:szCs w:val="28"/>
                        </w:rPr>
                      </w:pPr>
                    </w:p>
                  </w:txbxContent>
                </v:textbox>
                <w10:wrap anchorx="page"/>
              </v:shape>
            </w:pict>
          </mc:Fallback>
        </mc:AlternateContent>
      </w:r>
      <w:r w:rsidRPr="00A16EC7">
        <w:rPr>
          <w:noProof/>
        </w:rPr>
        <mc:AlternateContent>
          <mc:Choice Requires="wps">
            <w:drawing>
              <wp:anchor distT="0" distB="0" distL="114300" distR="114300" simplePos="0" relativeHeight="251904512" behindDoc="0" locked="0" layoutInCell="1" allowOverlap="1" wp14:anchorId="2E2B8E26" wp14:editId="57F90FE2">
                <wp:simplePos x="0" y="0"/>
                <wp:positionH relativeFrom="page">
                  <wp:posOffset>4436745</wp:posOffset>
                </wp:positionH>
                <wp:positionV relativeFrom="paragraph">
                  <wp:posOffset>3858895</wp:posOffset>
                </wp:positionV>
                <wp:extent cx="3121660" cy="0"/>
                <wp:effectExtent l="0" t="0" r="0" b="0"/>
                <wp:wrapNone/>
                <wp:docPr id="512359509" name="Connettore 1 38"/>
                <wp:cNvGraphicFramePr/>
                <a:graphic xmlns:a="http://schemas.openxmlformats.org/drawingml/2006/main">
                  <a:graphicData uri="http://schemas.microsoft.com/office/word/2010/wordprocessingShape">
                    <wps:wsp>
                      <wps:cNvCnPr/>
                      <wps:spPr>
                        <a:xfrm>
                          <a:off x="0" y="0"/>
                          <a:ext cx="3121660" cy="0"/>
                        </a:xfrm>
                        <a:prstGeom prst="line">
                          <a:avLst/>
                        </a:prstGeom>
                        <a:ln w="12700">
                          <a:solidFill>
                            <a:srgbClr val="AF8C6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4E765B8" id="Connettore 1 38" o:spid="_x0000_s1026" style="position:absolute;z-index:251904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49.35pt,303.85pt" to="595.15pt,3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" strokecolor="#af8c62" strokeweight="1pt">
                <v:stroke joinstyle="miter"/>
                <w10:wrap anchorx="page"/>
              </v:line>
            </w:pict>
          </mc:Fallback>
        </mc:AlternateContent>
      </w:r>
      <w:r w:rsidRPr="00A16EC7">
        <w:rPr>
          <w:noProof/>
        </w:rPr>
        <mc:AlternateContent>
          <mc:Choice Requires="wps">
            <w:drawing>
              <wp:anchor distT="0" distB="0" distL="114300" distR="114300" simplePos="0" relativeHeight="251846144" behindDoc="0" locked="0" layoutInCell="1" allowOverlap="1" wp14:anchorId="08E34744" wp14:editId="1231C057">
                <wp:simplePos x="0" y="0"/>
                <wp:positionH relativeFrom="page">
                  <wp:posOffset>4437233</wp:posOffset>
                </wp:positionH>
                <wp:positionV relativeFrom="paragraph">
                  <wp:posOffset>2355362</wp:posOffset>
                </wp:positionV>
                <wp:extent cx="3121660" cy="0"/>
                <wp:effectExtent l="0" t="0" r="0" b="0"/>
                <wp:wrapNone/>
                <wp:docPr id="1495710745" name="Connettore 1 38"/>
                <wp:cNvGraphicFramePr/>
                <a:graphic xmlns:a="http://schemas.openxmlformats.org/drawingml/2006/main">
                  <a:graphicData uri="http://schemas.microsoft.com/office/word/2010/wordprocessingShape">
                    <wps:wsp>
                      <wps:cNvCnPr/>
                      <wps:spPr>
                        <a:xfrm>
                          <a:off x="0" y="0"/>
                          <a:ext cx="3121660" cy="0"/>
                        </a:xfrm>
                        <a:prstGeom prst="line">
                          <a:avLst/>
                        </a:prstGeom>
                        <a:ln w="12700">
                          <a:solidFill>
                            <a:srgbClr val="AF8C6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C072D55" id="Connettore 1 38" o:spid="_x0000_s1026" style="position:absolute;z-index:251846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49.4pt,185.45pt" to="595.2pt,1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" strokecolor="#af8c62" strokeweight="1pt">
                <v:stroke joinstyle="miter"/>
                <w10:wrap anchorx="page"/>
              </v:line>
            </w:pict>
          </mc:Fallback>
        </mc:AlternateContent>
      </w:r>
    </w:p>
    <w:p w14:paraId="1992AA24" w14:textId="77777777" w:rsidR="00B57888" w:rsidRPr="00A16EC7" w:rsidRDefault="00400251" w:rsidP="00123A47">
      <w:pPr>
        <w:pStyle w:val="SI-Titolonoindice"/>
      </w:pPr>
      <w:r w:rsidRPr="00A16EC7">
        <w:lastRenderedPageBreak/>
        <w:t>In questo numero</w:t>
      </w:r>
    </w:p>
    <w:p w14:paraId="5017A85C" w14:textId="1EB11FB1" w:rsidR="002F161C" w:rsidRDefault="00EF3A51">
      <w:pPr>
        <w:pStyle w:val="Sommario1"/>
        <w:tabs>
          <w:tab w:val="right" w:leader="dot" w:pos="9628"/>
        </w:tabs>
        <w:rPr>
          <w:rFonts w:asciiTheme="minorHAnsi" w:eastAsiaTheme="minorEastAsia" w:hAnsiTheme="minorHAnsi" w:cstheme="minorBidi"/>
          <w:b w:val="0"/>
          <w:bCs w:val="0"/>
          <w:noProof/>
          <w:sz w:val="24"/>
          <w:szCs w:val="24"/>
          <w:lang w:eastAsia="it-IT"/>
        </w:rPr>
      </w:pPr>
      <w:r w:rsidRPr="00A16EC7">
        <w:rPr>
          <w:sz w:val="28"/>
        </w:rPr>
        <w:fldChar w:fldCharType="begin"/>
      </w:r>
      <w:r w:rsidRPr="00A16EC7">
        <w:instrText xml:space="preserve"> TOC \o "1-2" \t "SI - Titolo - 1. Level 1;1;SI - Titolo - 1.1.   Level 2;2" </w:instrText>
      </w:r>
      <w:r w:rsidRPr="00A16EC7">
        <w:rPr>
          <w:sz w:val="28"/>
        </w:rPr>
        <w:fldChar w:fldCharType="separate"/>
      </w:r>
      <w:r w:rsidR="002F161C">
        <w:rPr>
          <w:noProof/>
        </w:rPr>
        <w:t>Diritto Immobiliare</w:t>
      </w:r>
      <w:r w:rsidR="002F161C">
        <w:rPr>
          <w:noProof/>
        </w:rPr>
        <w:tab/>
      </w:r>
      <w:r w:rsidR="002F161C">
        <w:rPr>
          <w:noProof/>
        </w:rPr>
        <w:fldChar w:fldCharType="begin"/>
      </w:r>
      <w:r w:rsidR="002F161C">
        <w:rPr>
          <w:noProof/>
        </w:rPr>
        <w:instrText xml:space="preserve"> PAGEREF _Toc244264385 \h </w:instrText>
      </w:r>
      <w:r w:rsidR="002F161C">
        <w:rPr>
          <w:noProof/>
        </w:rPr>
      </w:r>
      <w:r w:rsidR="002F161C">
        <w:rPr>
          <w:noProof/>
        </w:rPr>
        <w:fldChar w:fldCharType="separate"/>
      </w:r>
      <w:r w:rsidR="002F161C">
        <w:rPr>
          <w:noProof/>
        </w:rPr>
        <w:t>4</w:t>
      </w:r>
      <w:r w:rsidR="002F161C">
        <w:rPr>
          <w:noProof/>
        </w:rPr>
        <w:fldChar w:fldCharType="end"/>
      </w:r>
    </w:p>
    <w:p w14:paraId="36A2C15E" w14:textId="486D349F" w:rsidR="002F161C" w:rsidRDefault="002F161C">
      <w:pPr>
        <w:pStyle w:val="Sommario2"/>
        <w:rPr>
          <w:rFonts w:asciiTheme="minorHAnsi" w:eastAsiaTheme="minorEastAsia" w:hAnsiTheme="minorHAnsi" w:cstheme="minorBidi"/>
          <w:iCs w:val="0"/>
          <w:sz w:val="24"/>
          <w:szCs w:val="24"/>
          <w:lang w:eastAsia="it-IT"/>
        </w:rPr>
      </w:pPr>
      <w:r w:rsidRPr="00A131FF">
        <w:rPr>
          <w:i/>
        </w:rPr>
        <w:t>Storage</w:t>
      </w:r>
      <w:r>
        <w:t xml:space="preserve"> in Italia: le sfide normative di un settore in crescita | </w:t>
      </w:r>
      <w:r w:rsidRPr="00A131FF">
        <w:rPr>
          <w:i/>
        </w:rPr>
        <w:t>28 luglio 2026</w:t>
      </w:r>
      <w:r>
        <w:tab/>
      </w:r>
      <w:r>
        <w:fldChar w:fldCharType="begin"/>
      </w:r>
      <w:r>
        <w:instrText xml:space="preserve"> PAGEREF _Toc244264386 \h </w:instrText>
      </w:r>
      <w:r>
        <w:fldChar w:fldCharType="separate"/>
      </w:r>
      <w:r>
        <w:t>4</w:t>
      </w:r>
      <w:r>
        <w:fldChar w:fldCharType="end"/>
      </w:r>
    </w:p>
    <w:p w14:paraId="1CE0F4DD" w14:textId="3171DC30" w:rsidR="002F161C" w:rsidRDefault="002F161C">
      <w:pPr>
        <w:pStyle w:val="Sommario1"/>
        <w:tabs>
          <w:tab w:val="right" w:leader="dot" w:pos="9628"/>
        </w:tabs>
        <w:rPr>
          <w:rFonts w:asciiTheme="minorHAnsi" w:eastAsiaTheme="minorEastAsia" w:hAnsiTheme="minorHAnsi" w:cstheme="minorBidi"/>
          <w:b w:val="0"/>
          <w:bCs w:val="0"/>
          <w:noProof/>
          <w:sz w:val="24"/>
          <w:szCs w:val="24"/>
          <w:lang w:eastAsia="it-IT"/>
        </w:rPr>
      </w:pPr>
      <w:r>
        <w:rPr>
          <w:noProof/>
        </w:rPr>
        <w:t>Tax</w:t>
      </w:r>
      <w:r>
        <w:rPr>
          <w:noProof/>
        </w:rPr>
        <w:tab/>
      </w:r>
      <w:r>
        <w:rPr>
          <w:noProof/>
        </w:rPr>
        <w:fldChar w:fldCharType="begin"/>
      </w:r>
      <w:r>
        <w:rPr>
          <w:noProof/>
        </w:rPr>
        <w:instrText xml:space="preserve"> PAGEREF _Toc244264387 \h </w:instrText>
      </w:r>
      <w:r>
        <w:rPr>
          <w:noProof/>
        </w:rPr>
      </w:r>
      <w:r>
        <w:rPr>
          <w:noProof/>
        </w:rPr>
        <w:fldChar w:fldCharType="separate"/>
      </w:r>
      <w:r>
        <w:rPr>
          <w:noProof/>
        </w:rPr>
        <w:t>4</w:t>
      </w:r>
      <w:r>
        <w:rPr>
          <w:noProof/>
        </w:rPr>
        <w:fldChar w:fldCharType="end"/>
      </w:r>
    </w:p>
    <w:p w14:paraId="7D1E8139" w14:textId="7077349A" w:rsidR="002F161C" w:rsidRDefault="002F161C">
      <w:pPr>
        <w:pStyle w:val="Sommario2"/>
        <w:rPr>
          <w:rFonts w:asciiTheme="minorHAnsi" w:eastAsiaTheme="minorEastAsia" w:hAnsiTheme="minorHAnsi" w:cstheme="minorBidi"/>
          <w:iCs w:val="0"/>
          <w:sz w:val="24"/>
          <w:szCs w:val="24"/>
          <w:lang w:eastAsia="it-IT"/>
        </w:rPr>
      </w:pPr>
      <w:r>
        <w:t xml:space="preserve">Compravendite di fabbricati e programmi pubblici di edilizia residenziale (ERP) | </w:t>
      </w:r>
      <w:r w:rsidRPr="00A131FF">
        <w:rPr>
          <w:i/>
        </w:rPr>
        <w:t>23 luglio 2026</w:t>
      </w:r>
      <w:r>
        <w:tab/>
      </w:r>
      <w:r>
        <w:fldChar w:fldCharType="begin"/>
      </w:r>
      <w:r>
        <w:instrText xml:space="preserve"> PAGEREF _Toc244264388 \h </w:instrText>
      </w:r>
      <w:r>
        <w:fldChar w:fldCharType="separate"/>
      </w:r>
      <w:r>
        <w:t>4</w:t>
      </w:r>
      <w:r>
        <w:fldChar w:fldCharType="end"/>
      </w:r>
    </w:p>
    <w:p w14:paraId="165057BA" w14:textId="69DA4150" w:rsidR="002F161C" w:rsidRDefault="002F161C">
      <w:pPr>
        <w:pStyle w:val="Sommario2"/>
        <w:rPr>
          <w:rFonts w:asciiTheme="minorHAnsi" w:eastAsiaTheme="minorEastAsia" w:hAnsiTheme="minorHAnsi" w:cstheme="minorBidi"/>
          <w:iCs w:val="0"/>
          <w:sz w:val="24"/>
          <w:szCs w:val="24"/>
          <w:lang w:eastAsia="it-IT"/>
        </w:rPr>
      </w:pPr>
      <w:r>
        <w:t xml:space="preserve">Fondi immobiliari: l’apporto di immobili è soggetto a imposta di registro in misura fissa a prescindere dalla tipologia di immobili | </w:t>
      </w:r>
      <w:r w:rsidRPr="00A131FF">
        <w:rPr>
          <w:i/>
        </w:rPr>
        <w:t>9 luglio 2026</w:t>
      </w:r>
      <w:r>
        <w:tab/>
      </w:r>
      <w:r>
        <w:fldChar w:fldCharType="begin"/>
      </w:r>
      <w:r>
        <w:instrText xml:space="preserve"> PAGEREF _Toc244264389 \h </w:instrText>
      </w:r>
      <w:r>
        <w:fldChar w:fldCharType="separate"/>
      </w:r>
      <w:r>
        <w:t>6</w:t>
      </w:r>
      <w:r>
        <w:fldChar w:fldCharType="end"/>
      </w:r>
    </w:p>
    <w:p w14:paraId="23424354" w14:textId="6369B306" w:rsidR="002F161C" w:rsidRDefault="002F161C">
      <w:pPr>
        <w:pStyle w:val="Sommario2"/>
        <w:rPr>
          <w:rFonts w:asciiTheme="minorHAnsi" w:eastAsiaTheme="minorEastAsia" w:hAnsiTheme="minorHAnsi" w:cstheme="minorBidi"/>
          <w:iCs w:val="0"/>
          <w:sz w:val="24"/>
          <w:szCs w:val="24"/>
          <w:lang w:eastAsia="it-IT"/>
        </w:rPr>
      </w:pPr>
      <w:r>
        <w:t xml:space="preserve">Trust e immobili: nuove regole in arrivo per le imposte ipotecaria e catastale | </w:t>
      </w:r>
      <w:r w:rsidRPr="00A131FF">
        <w:rPr>
          <w:i/>
        </w:rPr>
        <w:t>7 luglio 2026</w:t>
      </w:r>
      <w:r>
        <w:tab/>
      </w:r>
      <w:r>
        <w:fldChar w:fldCharType="begin"/>
      </w:r>
      <w:r>
        <w:instrText xml:space="preserve"> PAGEREF _Toc244264390 \h </w:instrText>
      </w:r>
      <w:r>
        <w:fldChar w:fldCharType="separate"/>
      </w:r>
      <w:r>
        <w:t>8</w:t>
      </w:r>
      <w:r>
        <w:fldChar w:fldCharType="end"/>
      </w:r>
    </w:p>
    <w:p w14:paraId="401DAF4E" w14:textId="2045FEBF" w:rsidR="002F161C" w:rsidRDefault="002F161C">
      <w:pPr>
        <w:pStyle w:val="Sommario1"/>
        <w:tabs>
          <w:tab w:val="right" w:leader="dot" w:pos="9628"/>
        </w:tabs>
        <w:rPr>
          <w:rFonts w:asciiTheme="minorHAnsi" w:eastAsiaTheme="minorEastAsia" w:hAnsiTheme="minorHAnsi" w:cstheme="minorBidi"/>
          <w:b w:val="0"/>
          <w:bCs w:val="0"/>
          <w:noProof/>
          <w:sz w:val="24"/>
          <w:szCs w:val="24"/>
          <w:lang w:eastAsia="it-IT"/>
        </w:rPr>
      </w:pPr>
      <w:r>
        <w:rPr>
          <w:noProof/>
        </w:rPr>
        <w:t>Diritto Urbanistico</w:t>
      </w:r>
      <w:r>
        <w:rPr>
          <w:noProof/>
        </w:rPr>
        <w:tab/>
      </w:r>
      <w:r>
        <w:rPr>
          <w:noProof/>
        </w:rPr>
        <w:fldChar w:fldCharType="begin"/>
      </w:r>
      <w:r>
        <w:rPr>
          <w:noProof/>
        </w:rPr>
        <w:instrText xml:space="preserve"> PAGEREF _Toc244264391 \h </w:instrText>
      </w:r>
      <w:r>
        <w:rPr>
          <w:noProof/>
        </w:rPr>
      </w:r>
      <w:r>
        <w:rPr>
          <w:noProof/>
        </w:rPr>
        <w:fldChar w:fldCharType="separate"/>
      </w:r>
      <w:r>
        <w:rPr>
          <w:noProof/>
        </w:rPr>
        <w:t>9</w:t>
      </w:r>
      <w:r>
        <w:rPr>
          <w:noProof/>
        </w:rPr>
        <w:fldChar w:fldCharType="end"/>
      </w:r>
    </w:p>
    <w:p w14:paraId="4DDB093E" w14:textId="22751556" w:rsidR="002F161C" w:rsidRDefault="002F161C">
      <w:pPr>
        <w:pStyle w:val="Sommario2"/>
        <w:rPr>
          <w:rFonts w:asciiTheme="minorHAnsi" w:eastAsiaTheme="minorEastAsia" w:hAnsiTheme="minorHAnsi" w:cstheme="minorBidi"/>
          <w:iCs w:val="0"/>
          <w:sz w:val="24"/>
          <w:szCs w:val="24"/>
          <w:lang w:eastAsia="it-IT"/>
        </w:rPr>
      </w:pPr>
      <w:r>
        <w:t xml:space="preserve">L’intervento di Guido Alberto Inzaghi a Green Street News sul nuovo Piano Casa | </w:t>
      </w:r>
      <w:r w:rsidRPr="00A131FF">
        <w:rPr>
          <w:i/>
        </w:rPr>
        <w:t>11 settembre 2026</w:t>
      </w:r>
      <w:r>
        <w:tab/>
      </w:r>
      <w:r>
        <w:fldChar w:fldCharType="begin"/>
      </w:r>
      <w:r>
        <w:instrText xml:space="preserve"> PAGEREF _Toc244264392 \h </w:instrText>
      </w:r>
      <w:r>
        <w:fldChar w:fldCharType="separate"/>
      </w:r>
      <w:r>
        <w:t>9</w:t>
      </w:r>
      <w:r>
        <w:fldChar w:fldCharType="end"/>
      </w:r>
    </w:p>
    <w:p w14:paraId="66FE7B6B" w14:textId="6C22FD1D" w:rsidR="002F161C" w:rsidRDefault="002F161C">
      <w:pPr>
        <w:pStyle w:val="Sommario2"/>
        <w:rPr>
          <w:rFonts w:asciiTheme="minorHAnsi" w:eastAsiaTheme="minorEastAsia" w:hAnsiTheme="minorHAnsi" w:cstheme="minorBidi"/>
          <w:iCs w:val="0"/>
          <w:sz w:val="24"/>
          <w:szCs w:val="24"/>
          <w:lang w:eastAsia="it-IT"/>
        </w:rPr>
      </w:pPr>
      <w:r>
        <w:t xml:space="preserve">Comune di Milano: approvate le nuove Linee guida per la realizzazione delle opere di urbanizzazione | </w:t>
      </w:r>
      <w:r w:rsidRPr="00A131FF">
        <w:rPr>
          <w:i/>
        </w:rPr>
        <w:t>7 settembre 2026</w:t>
      </w:r>
      <w:r>
        <w:tab/>
      </w:r>
      <w:r>
        <w:fldChar w:fldCharType="begin"/>
      </w:r>
      <w:r>
        <w:instrText xml:space="preserve"> PAGEREF _Toc244264393 \h </w:instrText>
      </w:r>
      <w:r>
        <w:fldChar w:fldCharType="separate"/>
      </w:r>
      <w:r>
        <w:t>10</w:t>
      </w:r>
      <w:r>
        <w:fldChar w:fldCharType="end"/>
      </w:r>
    </w:p>
    <w:p w14:paraId="4BD1A74A" w14:textId="7F6973BD" w:rsidR="002F161C" w:rsidRDefault="002F161C">
      <w:pPr>
        <w:pStyle w:val="Sommario2"/>
        <w:rPr>
          <w:rFonts w:asciiTheme="minorHAnsi" w:eastAsiaTheme="minorEastAsia" w:hAnsiTheme="minorHAnsi" w:cstheme="minorBidi"/>
          <w:iCs w:val="0"/>
          <w:sz w:val="24"/>
          <w:szCs w:val="24"/>
          <w:lang w:eastAsia="it-IT"/>
        </w:rPr>
      </w:pPr>
      <w:r>
        <w:t xml:space="preserve">Roma Capitale approva la variante alle NTA del PRG | </w:t>
      </w:r>
      <w:r w:rsidRPr="00A131FF">
        <w:rPr>
          <w:i/>
        </w:rPr>
        <w:t>10 agosto 2026</w:t>
      </w:r>
      <w:r>
        <w:tab/>
      </w:r>
      <w:r>
        <w:fldChar w:fldCharType="begin"/>
      </w:r>
      <w:r>
        <w:instrText xml:space="preserve"> PAGEREF _Toc244264394 \h </w:instrText>
      </w:r>
      <w:r>
        <w:fldChar w:fldCharType="separate"/>
      </w:r>
      <w:r>
        <w:t>10</w:t>
      </w:r>
      <w:r>
        <w:fldChar w:fldCharType="end"/>
      </w:r>
    </w:p>
    <w:p w14:paraId="450B9F8B" w14:textId="4E2E4C84" w:rsidR="002F161C" w:rsidRDefault="002F161C">
      <w:pPr>
        <w:pStyle w:val="Sommario2"/>
        <w:rPr>
          <w:rFonts w:asciiTheme="minorHAnsi" w:eastAsiaTheme="minorEastAsia" w:hAnsiTheme="minorHAnsi" w:cstheme="minorBidi"/>
          <w:iCs w:val="0"/>
          <w:sz w:val="24"/>
          <w:szCs w:val="24"/>
          <w:lang w:eastAsia="it-IT"/>
        </w:rPr>
      </w:pPr>
      <w:r>
        <w:t xml:space="preserve">Variante parziale al PGT di Milano – pubblicato il Rapporto Preliminare per la Verifica di assoggettabilità a VAS | </w:t>
      </w:r>
      <w:r w:rsidRPr="00A131FF">
        <w:rPr>
          <w:i/>
        </w:rPr>
        <w:t>30 luglio 2026</w:t>
      </w:r>
      <w:r>
        <w:tab/>
      </w:r>
      <w:r>
        <w:fldChar w:fldCharType="begin"/>
      </w:r>
      <w:r>
        <w:instrText xml:space="preserve"> PAGEREF _Toc244264395 \h </w:instrText>
      </w:r>
      <w:r>
        <w:fldChar w:fldCharType="separate"/>
      </w:r>
      <w:r>
        <w:t>11</w:t>
      </w:r>
      <w:r>
        <w:fldChar w:fldCharType="end"/>
      </w:r>
    </w:p>
    <w:p w14:paraId="69F47348" w14:textId="10929B3E" w:rsidR="002F161C" w:rsidRDefault="002F161C">
      <w:pPr>
        <w:pStyle w:val="Sommario2"/>
        <w:rPr>
          <w:rFonts w:asciiTheme="minorHAnsi" w:eastAsiaTheme="minorEastAsia" w:hAnsiTheme="minorHAnsi" w:cstheme="minorBidi"/>
          <w:iCs w:val="0"/>
          <w:sz w:val="24"/>
          <w:szCs w:val="24"/>
          <w:lang w:eastAsia="it-IT"/>
        </w:rPr>
      </w:pPr>
      <w:r>
        <w:t xml:space="preserve">Roma: approvate le Norme Tecniche di Attuazione del Piano Regolatore Generale (PRG) | </w:t>
      </w:r>
      <w:r w:rsidRPr="00A131FF">
        <w:rPr>
          <w:i/>
        </w:rPr>
        <w:t>28 luglio 2026</w:t>
      </w:r>
      <w:r>
        <w:tab/>
      </w:r>
      <w:r>
        <w:fldChar w:fldCharType="begin"/>
      </w:r>
      <w:r>
        <w:instrText xml:space="preserve"> PAGEREF _Toc244264396 \h </w:instrText>
      </w:r>
      <w:r>
        <w:fldChar w:fldCharType="separate"/>
      </w:r>
      <w:r>
        <w:t>11</w:t>
      </w:r>
      <w:r>
        <w:fldChar w:fldCharType="end"/>
      </w:r>
    </w:p>
    <w:p w14:paraId="61F77E8D" w14:textId="1BE997EC" w:rsidR="002F161C" w:rsidRDefault="002F161C">
      <w:pPr>
        <w:pStyle w:val="Sommario2"/>
        <w:rPr>
          <w:rFonts w:asciiTheme="minorHAnsi" w:eastAsiaTheme="minorEastAsia" w:hAnsiTheme="minorHAnsi" w:cstheme="minorBidi"/>
          <w:iCs w:val="0"/>
          <w:sz w:val="24"/>
          <w:szCs w:val="24"/>
          <w:lang w:eastAsia="it-IT"/>
        </w:rPr>
      </w:pPr>
      <w:r>
        <w:t xml:space="preserve">Comune di Milano: aggiornati gli indirizzi per la valutazione delle proposte di nuovi servizi privati di interesse pubblico o generale (cd. SPIG) | </w:t>
      </w:r>
      <w:r w:rsidRPr="00A131FF">
        <w:rPr>
          <w:i/>
        </w:rPr>
        <w:t>20 luglio 2026</w:t>
      </w:r>
      <w:r>
        <w:tab/>
      </w:r>
      <w:r>
        <w:fldChar w:fldCharType="begin"/>
      </w:r>
      <w:r>
        <w:instrText xml:space="preserve"> PAGEREF _Toc244264397 \h </w:instrText>
      </w:r>
      <w:r>
        <w:fldChar w:fldCharType="separate"/>
      </w:r>
      <w:r>
        <w:t>12</w:t>
      </w:r>
      <w:r>
        <w:fldChar w:fldCharType="end"/>
      </w:r>
    </w:p>
    <w:p w14:paraId="6EBEC88D" w14:textId="28522A01" w:rsidR="002F161C" w:rsidRDefault="002F161C">
      <w:pPr>
        <w:pStyle w:val="Sommario2"/>
        <w:rPr>
          <w:rFonts w:asciiTheme="minorHAnsi" w:eastAsiaTheme="minorEastAsia" w:hAnsiTheme="minorHAnsi" w:cstheme="minorBidi"/>
          <w:iCs w:val="0"/>
          <w:sz w:val="24"/>
          <w:szCs w:val="24"/>
          <w:lang w:eastAsia="it-IT"/>
        </w:rPr>
      </w:pPr>
      <w:r>
        <w:t xml:space="preserve">Il caso “Torre Milano”: Guido Alberto Inzaghi commenta la sentenza del Tribunale penale su InGENIO | </w:t>
      </w:r>
      <w:r w:rsidRPr="00A131FF">
        <w:rPr>
          <w:i/>
        </w:rPr>
        <w:t>16 luglio 2026</w:t>
      </w:r>
      <w:r>
        <w:tab/>
      </w:r>
      <w:r>
        <w:fldChar w:fldCharType="begin"/>
      </w:r>
      <w:r>
        <w:instrText xml:space="preserve"> PAGEREF _Toc244264398 \h </w:instrText>
      </w:r>
      <w:r>
        <w:fldChar w:fldCharType="separate"/>
      </w:r>
      <w:r>
        <w:t>14</w:t>
      </w:r>
      <w:r>
        <w:fldChar w:fldCharType="end"/>
      </w:r>
    </w:p>
    <w:p w14:paraId="2820C78E" w14:textId="00700350" w:rsidR="002F161C" w:rsidRDefault="002F161C">
      <w:pPr>
        <w:pStyle w:val="Sommario2"/>
        <w:rPr>
          <w:rFonts w:asciiTheme="minorHAnsi" w:eastAsiaTheme="minorEastAsia" w:hAnsiTheme="minorHAnsi" w:cstheme="minorBidi"/>
          <w:iCs w:val="0"/>
          <w:sz w:val="24"/>
          <w:szCs w:val="24"/>
          <w:lang w:eastAsia="it-IT"/>
        </w:rPr>
      </w:pPr>
      <w:r>
        <w:t xml:space="preserve">PRG Roma: la Regione sospende il procedimento di approvazione | </w:t>
      </w:r>
      <w:r w:rsidRPr="00A131FF">
        <w:rPr>
          <w:i/>
        </w:rPr>
        <w:t>16 luglio 2026</w:t>
      </w:r>
      <w:r>
        <w:tab/>
      </w:r>
      <w:r>
        <w:fldChar w:fldCharType="begin"/>
      </w:r>
      <w:r>
        <w:instrText xml:space="preserve"> PAGEREF _Toc244264399 \h </w:instrText>
      </w:r>
      <w:r>
        <w:fldChar w:fldCharType="separate"/>
      </w:r>
      <w:r>
        <w:t>14</w:t>
      </w:r>
      <w:r>
        <w:fldChar w:fldCharType="end"/>
      </w:r>
    </w:p>
    <w:p w14:paraId="0C944FA8" w14:textId="6548C075" w:rsidR="002F161C" w:rsidRDefault="002F161C">
      <w:pPr>
        <w:pStyle w:val="Sommario2"/>
        <w:rPr>
          <w:rFonts w:asciiTheme="minorHAnsi" w:eastAsiaTheme="minorEastAsia" w:hAnsiTheme="minorHAnsi" w:cstheme="minorBidi"/>
          <w:iCs w:val="0"/>
          <w:sz w:val="24"/>
          <w:szCs w:val="24"/>
          <w:lang w:eastAsia="it-IT"/>
        </w:rPr>
      </w:pPr>
      <w:r>
        <w:t xml:space="preserve">TAR Lombardia-Milano, sentenza del 1° luglio 2026, n. 3495 | </w:t>
      </w:r>
      <w:r w:rsidRPr="00A131FF">
        <w:rPr>
          <w:i/>
        </w:rPr>
        <w:t>8 luglio 2026</w:t>
      </w:r>
      <w:r>
        <w:tab/>
      </w:r>
      <w:r>
        <w:fldChar w:fldCharType="begin"/>
      </w:r>
      <w:r>
        <w:instrText xml:space="preserve"> PAGEREF _Toc244264400 \h </w:instrText>
      </w:r>
      <w:r>
        <w:fldChar w:fldCharType="separate"/>
      </w:r>
      <w:r>
        <w:t>15</w:t>
      </w:r>
      <w:r>
        <w:fldChar w:fldCharType="end"/>
      </w:r>
    </w:p>
    <w:p w14:paraId="30C094EF" w14:textId="778ACDBA" w:rsidR="002F161C" w:rsidRDefault="002F161C">
      <w:pPr>
        <w:pStyle w:val="Sommario2"/>
        <w:rPr>
          <w:rFonts w:asciiTheme="minorHAnsi" w:eastAsiaTheme="minorEastAsia" w:hAnsiTheme="minorHAnsi" w:cstheme="minorBidi"/>
          <w:iCs w:val="0"/>
          <w:sz w:val="24"/>
          <w:szCs w:val="24"/>
          <w:lang w:eastAsia="it-IT"/>
        </w:rPr>
      </w:pPr>
      <w:r>
        <w:t xml:space="preserve">Regione Lombardia approva la nuova disciplina in materia di Valutazione di Impatto Ambientale (VIA) | </w:t>
      </w:r>
      <w:r w:rsidRPr="00A131FF">
        <w:rPr>
          <w:i/>
        </w:rPr>
        <w:t>3 luglio 2026</w:t>
      </w:r>
      <w:r>
        <w:tab/>
      </w:r>
      <w:r>
        <w:fldChar w:fldCharType="begin"/>
      </w:r>
      <w:r>
        <w:instrText xml:space="preserve"> PAGEREF _Toc244264401 \h </w:instrText>
      </w:r>
      <w:r>
        <w:fldChar w:fldCharType="separate"/>
      </w:r>
      <w:r>
        <w:t>17</w:t>
      </w:r>
      <w:r>
        <w:fldChar w:fldCharType="end"/>
      </w:r>
    </w:p>
    <w:p w14:paraId="671E5170" w14:textId="5199DF4D" w:rsidR="002F161C" w:rsidRDefault="002F161C">
      <w:pPr>
        <w:pStyle w:val="Sommario2"/>
        <w:rPr>
          <w:rFonts w:asciiTheme="minorHAnsi" w:eastAsiaTheme="minorEastAsia" w:hAnsiTheme="minorHAnsi" w:cstheme="minorBidi"/>
          <w:iCs w:val="0"/>
          <w:sz w:val="24"/>
          <w:szCs w:val="24"/>
          <w:lang w:eastAsia="it-IT"/>
        </w:rPr>
      </w:pPr>
      <w:r>
        <w:lastRenderedPageBreak/>
        <w:t xml:space="preserve">Caso “Park Towers”: la Corte dei Conti esclude la responsabilità dei funzionari del Comune di Milano | </w:t>
      </w:r>
      <w:r w:rsidRPr="00A131FF">
        <w:rPr>
          <w:i/>
        </w:rPr>
        <w:t>3 luglio 2026</w:t>
      </w:r>
      <w:r>
        <w:tab/>
      </w:r>
      <w:r>
        <w:fldChar w:fldCharType="begin"/>
      </w:r>
      <w:r>
        <w:instrText xml:space="preserve"> PAGEREF _Toc244264402 \h </w:instrText>
      </w:r>
      <w:r>
        <w:fldChar w:fldCharType="separate"/>
      </w:r>
      <w:r>
        <w:t>18</w:t>
      </w:r>
      <w:r>
        <w:fldChar w:fldCharType="end"/>
      </w:r>
    </w:p>
    <w:p w14:paraId="112733DF" w14:textId="1E6F2843" w:rsidR="002F161C" w:rsidRDefault="002F161C">
      <w:pPr>
        <w:pStyle w:val="Sommario1"/>
        <w:tabs>
          <w:tab w:val="right" w:leader="dot" w:pos="9628"/>
        </w:tabs>
        <w:rPr>
          <w:rFonts w:asciiTheme="minorHAnsi" w:eastAsiaTheme="minorEastAsia" w:hAnsiTheme="minorHAnsi" w:cstheme="minorBidi"/>
          <w:b w:val="0"/>
          <w:bCs w:val="0"/>
          <w:noProof/>
          <w:sz w:val="24"/>
          <w:szCs w:val="24"/>
          <w:lang w:eastAsia="it-IT"/>
        </w:rPr>
      </w:pPr>
      <w:r>
        <w:rPr>
          <w:noProof/>
        </w:rPr>
        <w:t>Litigation</w:t>
      </w:r>
      <w:r>
        <w:rPr>
          <w:noProof/>
        </w:rPr>
        <w:tab/>
      </w:r>
      <w:r>
        <w:rPr>
          <w:noProof/>
        </w:rPr>
        <w:fldChar w:fldCharType="begin"/>
      </w:r>
      <w:r>
        <w:rPr>
          <w:noProof/>
        </w:rPr>
        <w:instrText xml:space="preserve"> PAGEREF _Toc244264403 \h </w:instrText>
      </w:r>
      <w:r>
        <w:rPr>
          <w:noProof/>
        </w:rPr>
      </w:r>
      <w:r>
        <w:rPr>
          <w:noProof/>
        </w:rPr>
        <w:fldChar w:fldCharType="separate"/>
      </w:r>
      <w:r>
        <w:rPr>
          <w:noProof/>
        </w:rPr>
        <w:t>18</w:t>
      </w:r>
      <w:r>
        <w:rPr>
          <w:noProof/>
        </w:rPr>
        <w:fldChar w:fldCharType="end"/>
      </w:r>
    </w:p>
    <w:p w14:paraId="27FDA0FE" w14:textId="2344F254" w:rsidR="002F161C" w:rsidRDefault="002F161C">
      <w:pPr>
        <w:pStyle w:val="Sommario2"/>
        <w:rPr>
          <w:rFonts w:asciiTheme="minorHAnsi" w:eastAsiaTheme="minorEastAsia" w:hAnsiTheme="minorHAnsi" w:cstheme="minorBidi"/>
          <w:iCs w:val="0"/>
          <w:sz w:val="24"/>
          <w:szCs w:val="24"/>
          <w:lang w:eastAsia="it-IT"/>
        </w:rPr>
      </w:pPr>
      <w:r>
        <w:t>Compravendita immobiliare, vincoli urbanistici e mancata dichiarazione nel contratto preliminare: la responsabilità del promittente venditore</w:t>
      </w:r>
      <w:r w:rsidRPr="00A131FF">
        <w:t xml:space="preserve"> | </w:t>
      </w:r>
      <w:r w:rsidRPr="00A131FF">
        <w:rPr>
          <w:i/>
        </w:rPr>
        <w:t>settembre 2026</w:t>
      </w:r>
      <w:r>
        <w:tab/>
      </w:r>
      <w:r>
        <w:fldChar w:fldCharType="begin"/>
      </w:r>
      <w:r>
        <w:instrText xml:space="preserve"> PAGEREF _Toc244264404 \h </w:instrText>
      </w:r>
      <w:r>
        <w:fldChar w:fldCharType="separate"/>
      </w:r>
      <w:r>
        <w:t>18</w:t>
      </w:r>
      <w:r>
        <w:fldChar w:fldCharType="end"/>
      </w:r>
    </w:p>
    <w:p w14:paraId="0A7E54D9" w14:textId="481605D7" w:rsidR="00123A47" w:rsidRPr="00A16EC7" w:rsidRDefault="00EF3A51" w:rsidP="00123A47">
      <w:r w:rsidRPr="00A16EC7">
        <w:fldChar w:fldCharType="end"/>
      </w:r>
    </w:p>
    <w:p w14:paraId="2B89CEE4" w14:textId="77777777" w:rsidR="00123A47" w:rsidRPr="00A16EC7" w:rsidRDefault="00123A47" w:rsidP="00123A47">
      <w:pPr>
        <w:sectPr w:rsidR="00123A47" w:rsidRPr="00A16EC7" w:rsidSect="00833DE4">
          <w:headerReference w:type="default" r:id="rId11"/>
          <w:headerReference w:type="first" r:id="rId12"/>
          <w:pgSz w:w="11906" w:h="16838"/>
          <w:pgMar w:top="1843" w:right="1134" w:bottom="1134" w:left="1134" w:header="851" w:footer="208" w:gutter="0"/>
          <w:cols w:space="708"/>
          <w:docGrid w:linePitch="360"/>
        </w:sectPr>
      </w:pPr>
    </w:p>
    <w:p w14:paraId="60D2D44C" w14:textId="77777777" w:rsidR="00166412" w:rsidRPr="00A16EC7" w:rsidRDefault="00166412" w:rsidP="003814CA">
      <w:pPr>
        <w:pStyle w:val="SI-Titolo-1Level1"/>
      </w:pPr>
      <w:bookmarkStart w:id="0" w:name="_Toc244264385"/>
      <w:r w:rsidRPr="00A16EC7">
        <w:lastRenderedPageBreak/>
        <w:t>Diritto Immobiliare</w:t>
      </w:r>
      <w:bookmarkEnd w:id="0"/>
      <w:r w:rsidRPr="00A16EC7">
        <w:t xml:space="preserve"> </w:t>
      </w:r>
    </w:p>
    <w:p w14:paraId="13274ECA" w14:textId="01456527" w:rsidR="00166412" w:rsidRPr="00A16EC7" w:rsidRDefault="00F35C8B" w:rsidP="003814CA">
      <w:pPr>
        <w:pStyle w:val="SI-Titolo-11Level2"/>
      </w:pPr>
      <w:bookmarkStart w:id="1" w:name="_Toc244264386"/>
      <w:r w:rsidRPr="00E5429B">
        <w:rPr>
          <w:i/>
          <w:iCs/>
        </w:rPr>
        <w:t>S</w:t>
      </w:r>
      <w:r w:rsidR="00E5429B" w:rsidRPr="00E5429B">
        <w:rPr>
          <w:i/>
          <w:iCs/>
        </w:rPr>
        <w:t>torage</w:t>
      </w:r>
      <w:r w:rsidR="00E5429B" w:rsidRPr="00E5429B">
        <w:t xml:space="preserve"> in Italia: le sfide normative di un settore in crescita</w:t>
      </w:r>
      <w:r>
        <w:t xml:space="preserve"> </w:t>
      </w:r>
      <w:r w:rsidR="00A81310">
        <w:t>|</w:t>
      </w:r>
      <w:r>
        <w:t xml:space="preserve"> </w:t>
      </w:r>
      <w:r w:rsidR="007C1C50" w:rsidRPr="005F32D1">
        <w:rPr>
          <w:i/>
          <w:iCs/>
        </w:rPr>
        <w:t>28 luglio 2026</w:t>
      </w:r>
      <w:bookmarkEnd w:id="1"/>
      <w:r w:rsidR="00F54DBE">
        <w:t xml:space="preserve"> </w:t>
      </w:r>
    </w:p>
    <w:p w14:paraId="69555E5A" w14:textId="77777777" w:rsidR="00C341BA" w:rsidRDefault="00C341BA" w:rsidP="00C341BA">
      <w:r>
        <w:t xml:space="preserve">Con circa 190.000 metri quadrati di spazi dedicati al </w:t>
      </w:r>
      <w:r w:rsidRPr="00164FEE">
        <w:rPr>
          <w:i/>
          <w:iCs/>
        </w:rPr>
        <w:t>self storage</w:t>
      </w:r>
      <w:r>
        <w:t xml:space="preserve"> in Italia, contro gli oltre 6 milioni del Regno Unito, il settore rappresenta un segmento immobiliare ancora relativamente giovane nel nostro Paese, ma con interessanti prospettive di sviluppo.</w:t>
      </w:r>
    </w:p>
    <w:p w14:paraId="0B11969D" w14:textId="77777777" w:rsidR="00C341BA" w:rsidRDefault="00C341BA" w:rsidP="00C341BA">
      <w:r>
        <w:t xml:space="preserve">Già consolidato in diversi mercati europei, il </w:t>
      </w:r>
      <w:r w:rsidRPr="00E12B27">
        <w:rPr>
          <w:i/>
          <w:iCs/>
        </w:rPr>
        <w:t>self storage</w:t>
      </w:r>
      <w:r>
        <w:t xml:space="preserve"> sta attirando un crescente interesse da parte degli investitori anche in Italia, dove la progressiva riduzione degli spazi domestici, l'evoluzione delle esigenze abitative e la crescente domanda di soluzioni di deposito flessibili contribuiscono a sostenere l'espansione del settore.</w:t>
      </w:r>
    </w:p>
    <w:p w14:paraId="3CCBB870" w14:textId="77777777" w:rsidR="00C341BA" w:rsidRDefault="00C341BA" w:rsidP="00C341BA">
      <w:r>
        <w:t xml:space="preserve">Alle opportunità di investimento si accompagnano, tuttavia, questioni giuridiche e urbanistiche tutt'altro che scontate. Locazione o deposito? Chi risponde dei beni custoditi? Quali verifiche urbanistiche sono necessarie per riconvertire un immobile e destinarlo al </w:t>
      </w:r>
      <w:r w:rsidRPr="00E12B27">
        <w:rPr>
          <w:i/>
          <w:iCs/>
        </w:rPr>
        <w:t>self storage</w:t>
      </w:r>
      <w:r>
        <w:t>?</w:t>
      </w:r>
    </w:p>
    <w:p w14:paraId="6E6F6B63" w14:textId="77777777" w:rsidR="00C341BA" w:rsidRDefault="00C341BA" w:rsidP="00C341BA">
      <w:r>
        <w:t xml:space="preserve">Sono alcuni dei temi affrontati dalla nostra </w:t>
      </w:r>
      <w:r w:rsidRPr="00164FEE">
        <w:rPr>
          <w:i/>
          <w:iCs/>
        </w:rPr>
        <w:t>Founding Partner</w:t>
      </w:r>
      <w:r>
        <w:t xml:space="preserve"> </w:t>
      </w:r>
      <w:r w:rsidRPr="00E12B27">
        <w:t>Ivana Magistrelli</w:t>
      </w:r>
      <w:r>
        <w:t xml:space="preserve"> nell'articolo “Magazzini personali”, pubblicato su Milano Finanza, dedicato all'evoluzione del mercato italiano e alle sue prospettive di crescita.</w:t>
      </w:r>
    </w:p>
    <w:p w14:paraId="4377B8D7" w14:textId="77777777" w:rsidR="00C341BA" w:rsidRDefault="00C341BA" w:rsidP="00C341BA">
      <w:r>
        <w:t xml:space="preserve">Nel suo intervento, Ivana Magistrelli evidenzia come l'assenza di una disciplina specifica per il </w:t>
      </w:r>
      <w:r w:rsidRPr="00164FEE">
        <w:rPr>
          <w:i/>
          <w:iCs/>
        </w:rPr>
        <w:t>self storage</w:t>
      </w:r>
      <w:r>
        <w:t xml:space="preserve"> in Italia rappresenti una delle principali sfide per gli operatori. La qualificazione dei rapporti contrattuali, con le relative implicazioni in termini di responsabilità e custodia dei beni, così come l'inquadramento urbanistico delle strutture e la disciplina dei cambi di destinazione d'uso, richiedono infatti valutazioni attente, anche in considerazione delle differenti normative regionali e comunali.</w:t>
      </w:r>
    </w:p>
    <w:p w14:paraId="62FADDF4" w14:textId="77777777" w:rsidR="00C341BA" w:rsidRDefault="00C341BA" w:rsidP="00C341BA">
      <w:r>
        <w:t>Un mercato dalle significative potenzialità di crescita, in cui il corretto inquadramento giuridico e urbanistico degli investimenti assume un ruolo centrale.</w:t>
      </w:r>
    </w:p>
    <w:p w14:paraId="757A211D" w14:textId="6F9520CF" w:rsidR="00C341BA" w:rsidRDefault="00C341BA" w:rsidP="00C341BA">
      <w:r>
        <w:t xml:space="preserve">Per leggere l’articolo completo cliccare </w:t>
      </w:r>
      <w:hyperlink r:id="rId13" w:history="1">
        <w:r w:rsidRPr="00CB3443">
          <w:rPr>
            <w:rStyle w:val="Collegamentoipertestuale"/>
          </w:rPr>
          <w:t>qui</w:t>
        </w:r>
      </w:hyperlink>
      <w:r>
        <w:t>.</w:t>
      </w:r>
    </w:p>
    <w:p w14:paraId="43E4C2B3" w14:textId="3650C97A" w:rsidR="000D4C20" w:rsidRDefault="00166412" w:rsidP="000D4C20">
      <w:pPr>
        <w:pStyle w:val="SI-Titolo-1Level1"/>
        <w:rPr>
          <w:b w:val="0"/>
          <w:bCs w:val="0"/>
        </w:rPr>
      </w:pPr>
      <w:bookmarkStart w:id="2" w:name="_Toc244264387"/>
      <w:r w:rsidRPr="00A16EC7">
        <w:t>Tax</w:t>
      </w:r>
      <w:bookmarkEnd w:id="2"/>
      <w:r w:rsidR="00830B0B" w:rsidRPr="00830B0B">
        <w:t xml:space="preserve"> </w:t>
      </w:r>
    </w:p>
    <w:p w14:paraId="3A0E17CE" w14:textId="7FAD8F40" w:rsidR="000D4C20" w:rsidRDefault="000D4C20" w:rsidP="000D4C20">
      <w:pPr>
        <w:pStyle w:val="SI-Titolo-11Level2"/>
        <w:rPr>
          <w:b w:val="0"/>
          <w:bCs w:val="0"/>
        </w:rPr>
      </w:pPr>
      <w:bookmarkStart w:id="3" w:name="_Toc244264388"/>
      <w:r w:rsidRPr="0033200A">
        <w:t>Compravendite di fabbricati e programmi pubblici di edilizia residenziale (ERP)</w:t>
      </w:r>
      <w:r>
        <w:t xml:space="preserve"> | </w:t>
      </w:r>
      <w:r w:rsidRPr="000D4C20">
        <w:rPr>
          <w:i/>
          <w:iCs/>
        </w:rPr>
        <w:t>23 luglio 2026</w:t>
      </w:r>
      <w:bookmarkEnd w:id="3"/>
    </w:p>
    <w:p w14:paraId="49B41E51" w14:textId="77777777" w:rsidR="000D4C20" w:rsidRDefault="000D4C20" w:rsidP="000D4C20">
      <w:r w:rsidRPr="0033200A">
        <w:t>Sull’ambito di applicazione dell’esenzione ex art. 32, comma 2, D.P.R. n. 601/1973 nel caso delle imposte ipotecaria e catastale</w:t>
      </w:r>
      <w:r>
        <w:t>.</w:t>
      </w:r>
    </w:p>
    <w:p w14:paraId="60E0752E" w14:textId="3C14EA7C" w:rsidR="000D4C20" w:rsidRDefault="000D4C20" w:rsidP="000D4C20">
      <w:pPr>
        <w:rPr>
          <w:i/>
          <w:iCs/>
        </w:rPr>
      </w:pPr>
      <w:r w:rsidRPr="000D4C20">
        <w:rPr>
          <w:i/>
          <w:iCs/>
        </w:rPr>
        <w:t>Cass. civ., Sez. V, Ordinanza 20 giugno 2026, n. 21000</w:t>
      </w:r>
    </w:p>
    <w:p w14:paraId="09C0ABDA" w14:textId="77777777" w:rsidR="000C2570" w:rsidRPr="000D4C20" w:rsidRDefault="000C2570" w:rsidP="000D4C20">
      <w:pPr>
        <w:rPr>
          <w:i/>
          <w:iCs/>
        </w:rPr>
      </w:pPr>
    </w:p>
    <w:p w14:paraId="719A7055" w14:textId="77777777" w:rsidR="000D4C20" w:rsidRPr="000D4C20" w:rsidRDefault="000D4C20" w:rsidP="000D4C20">
      <w:pPr>
        <w:rPr>
          <w:u w:val="single"/>
        </w:rPr>
      </w:pPr>
      <w:r w:rsidRPr="000D4C20">
        <w:rPr>
          <w:u w:val="single"/>
        </w:rPr>
        <w:lastRenderedPageBreak/>
        <w:t>L’agevolazione ai fini dell’imposta di registro e delle imposte ipotecaria e catastale</w:t>
      </w:r>
    </w:p>
    <w:p w14:paraId="4CD454E1" w14:textId="77777777" w:rsidR="000D4C20" w:rsidRPr="00F530D7" w:rsidRDefault="000D4C20" w:rsidP="000D4C20">
      <w:pPr>
        <w:pStyle w:val="Paragrafoelenco"/>
        <w:numPr>
          <w:ilvl w:val="0"/>
          <w:numId w:val="36"/>
        </w:numPr>
        <w:spacing w:before="120" w:after="120" w:line="276" w:lineRule="auto"/>
      </w:pPr>
      <w:r w:rsidRPr="00F530D7">
        <w:t>L’art. 32 del D.P.R. n. 601/1973 prevede un regime fiscale agevolato per gli atti relativi all’attuazione di programmi pubblici di edilizia residenziale (ERP).</w:t>
      </w:r>
    </w:p>
    <w:p w14:paraId="08C91A14" w14:textId="77777777" w:rsidR="000D4C20" w:rsidRPr="00F530D7" w:rsidRDefault="000D4C20" w:rsidP="000D4C20">
      <w:pPr>
        <w:pStyle w:val="Paragrafoelenco"/>
        <w:numPr>
          <w:ilvl w:val="0"/>
          <w:numId w:val="36"/>
        </w:numPr>
        <w:spacing w:before="120" w:after="120" w:line="276" w:lineRule="auto"/>
      </w:pPr>
      <w:r w:rsidRPr="00F530D7">
        <w:t xml:space="preserve">In particolare, il comma 2 dell’art. 32 prevede l’imposta di registro in misura fissa (200 euro) e l’esenzione dalle imposte ipotecarie e catastali per (i) gli atti di cessione a titolo gratuito di aree a favore dei Comuni o loro consorzi e (ii) gli altri atti e contratti relativi all’attuazione dei programmi pubblici di edilizia residenziale. </w:t>
      </w:r>
    </w:p>
    <w:p w14:paraId="25FA18AE" w14:textId="77777777" w:rsidR="000D4C20" w:rsidRPr="00F530D7" w:rsidRDefault="000D4C20" w:rsidP="000D4C20">
      <w:pPr>
        <w:pStyle w:val="Paragrafoelenco"/>
        <w:numPr>
          <w:ilvl w:val="0"/>
          <w:numId w:val="36"/>
        </w:numPr>
        <w:spacing w:before="120" w:after="120" w:line="276" w:lineRule="auto"/>
        <w:rPr>
          <w:b/>
          <w:bCs/>
        </w:rPr>
      </w:pPr>
      <w:r w:rsidRPr="00F530D7">
        <w:t>Sul concetto di atti relativi all’attuazione di programmi pubblici di edilizia residenziale si veda, tra le altre, la Risposta a interpello n. 6/2022 dell’Agenzia delle Entrate.</w:t>
      </w:r>
    </w:p>
    <w:p w14:paraId="06919385" w14:textId="77777777" w:rsidR="000D4C20" w:rsidRPr="000D4C20" w:rsidRDefault="000D4C20" w:rsidP="000D4C20">
      <w:pPr>
        <w:rPr>
          <w:u w:val="single"/>
        </w:rPr>
      </w:pPr>
      <w:r w:rsidRPr="000D4C20">
        <w:rPr>
          <w:u w:val="single"/>
        </w:rPr>
        <w:t>L’ordinanza della Cassazione n. 21000/2026</w:t>
      </w:r>
    </w:p>
    <w:p w14:paraId="19D513A9" w14:textId="77777777" w:rsidR="000D4C20" w:rsidRPr="00FF6D05" w:rsidRDefault="000D4C20" w:rsidP="000D4C20">
      <w:pPr>
        <w:pStyle w:val="Paragrafoelenco"/>
        <w:numPr>
          <w:ilvl w:val="0"/>
          <w:numId w:val="37"/>
        </w:numPr>
        <w:spacing w:before="120" w:after="120" w:line="276" w:lineRule="auto"/>
      </w:pPr>
      <w:r w:rsidRPr="00FF6D05">
        <w:t>La Cassazione, con l’ordinanza in commento, conferma la piena operatività di questa norma introdotta nel 1973 e che nell’ambito di applicazione della stessa rientrano anche i contratti di vendita di fabbricati realizzati nell’ambito dei programmi ERP.</w:t>
      </w:r>
    </w:p>
    <w:p w14:paraId="1E5FF2AB" w14:textId="77777777" w:rsidR="000D4C20" w:rsidRPr="00FF6D05" w:rsidRDefault="000D4C20" w:rsidP="000D4C20">
      <w:pPr>
        <w:pStyle w:val="Paragrafoelenco"/>
        <w:numPr>
          <w:ilvl w:val="0"/>
          <w:numId w:val="37"/>
        </w:numPr>
        <w:spacing w:before="120" w:after="120" w:line="276" w:lineRule="auto"/>
      </w:pPr>
      <w:r w:rsidRPr="00FF6D05">
        <w:t>Tuttavia, l’Ordinanza limita l’ambito di applicazione dell’agevolazione fiscale ai casi in cui l’atto, in assenza dell’agevolazione, sarebbe soggetto all’imposta di registro proporzionale e non a quella fissa di 200 euro.</w:t>
      </w:r>
    </w:p>
    <w:p w14:paraId="61ED4D68" w14:textId="77777777" w:rsidR="000D4C20" w:rsidRPr="00FF6D05" w:rsidRDefault="000D4C20" w:rsidP="000D4C20">
      <w:pPr>
        <w:pStyle w:val="Paragrafoelenco"/>
        <w:numPr>
          <w:ilvl w:val="0"/>
          <w:numId w:val="37"/>
        </w:numPr>
        <w:spacing w:before="120" w:after="120" w:line="276" w:lineRule="auto"/>
      </w:pPr>
      <w:r w:rsidRPr="00FF6D05">
        <w:t xml:space="preserve">La Cassazione, quindi, esclude dall’agevolazione le vendite soggette a IVA e ad imposta di registro nella misura fissa di 200 euro per effetto del principio di alternatività tra IVA e imposta di registro (principio per cui, in alcuni casi, l’IVA comporta l’applicazione dell’imposta di registro nella misura fissa di 200 euro). </w:t>
      </w:r>
    </w:p>
    <w:p w14:paraId="67BF6CF7" w14:textId="77777777" w:rsidR="000D4C20" w:rsidRPr="00FF6D05" w:rsidRDefault="000D4C20" w:rsidP="000D4C20">
      <w:pPr>
        <w:pStyle w:val="Paragrafoelenco"/>
        <w:numPr>
          <w:ilvl w:val="0"/>
          <w:numId w:val="37"/>
        </w:numPr>
        <w:spacing w:before="120" w:after="120" w:line="276" w:lineRule="auto"/>
        <w:rPr>
          <w:b/>
          <w:bCs/>
        </w:rPr>
      </w:pPr>
      <w:r w:rsidRPr="00FF6D05">
        <w:t>Secondo la Cassazione, quando l’atto è già soggetto all’imposta di registro di 200 euro a prescindere dall’art. 32, non sarebbe possibile applicare l’agevolazione alle imposte ipotecaria e catastale.</w:t>
      </w:r>
    </w:p>
    <w:p w14:paraId="40F0125F" w14:textId="77777777" w:rsidR="000D4C20" w:rsidRPr="000D4C20" w:rsidRDefault="000D4C20" w:rsidP="000D4C20">
      <w:pPr>
        <w:rPr>
          <w:u w:val="single"/>
        </w:rPr>
      </w:pPr>
      <w:r w:rsidRPr="000D4C20">
        <w:rPr>
          <w:u w:val="single"/>
        </w:rPr>
        <w:t>Il caso</w:t>
      </w:r>
    </w:p>
    <w:p w14:paraId="54FDAA77" w14:textId="77777777" w:rsidR="000D4C20" w:rsidRPr="00BD4F55" w:rsidRDefault="000D4C20" w:rsidP="000D4C20">
      <w:pPr>
        <w:pStyle w:val="Paragrafoelenco"/>
        <w:numPr>
          <w:ilvl w:val="0"/>
          <w:numId w:val="38"/>
        </w:numPr>
        <w:spacing w:before="120" w:after="120" w:line="276" w:lineRule="auto"/>
      </w:pPr>
      <w:r w:rsidRPr="00BD4F55">
        <w:t xml:space="preserve">L’Agenzia delle Entrate richiedeva al notaio rogante il versamento di imposte ipotecaria e catastale in misura proporzionale (3%) per un atto di cessione di immobile, soggetto ad IVA, stipulato tra un ATER (ex IACP), quale venditore, e una persona fisica, quale acquirente. </w:t>
      </w:r>
    </w:p>
    <w:p w14:paraId="22817CE9" w14:textId="77777777" w:rsidR="000D4C20" w:rsidRPr="00BD4F55" w:rsidRDefault="000D4C20" w:rsidP="000D4C20">
      <w:pPr>
        <w:pStyle w:val="Paragrafoelenco"/>
        <w:numPr>
          <w:ilvl w:val="0"/>
          <w:numId w:val="38"/>
        </w:numPr>
        <w:spacing w:before="120" w:after="120" w:line="276" w:lineRule="auto"/>
      </w:pPr>
      <w:r w:rsidRPr="00BD4F55">
        <w:t>I giudici di merito, in primo e secondo grado, avevano accolto il ricorso del contribuente, confermando la tesi secondo cui l’esenzione ex art. 32, comma 2, si applicherebbe anche alle imposte ipotecaria e catastale, a prescindere dal regime IVA dell’atto e dall’imposta di registro applicabile.</w:t>
      </w:r>
    </w:p>
    <w:p w14:paraId="5CA1BCC7" w14:textId="77777777" w:rsidR="000D4C20" w:rsidRPr="00BD4F55" w:rsidRDefault="000D4C20" w:rsidP="000D4C20">
      <w:pPr>
        <w:pStyle w:val="Paragrafoelenco"/>
        <w:numPr>
          <w:ilvl w:val="0"/>
          <w:numId w:val="38"/>
        </w:numPr>
        <w:spacing w:before="120" w:after="120" w:line="276" w:lineRule="auto"/>
      </w:pPr>
      <w:r w:rsidRPr="00BD4F55">
        <w:t>La Cassazione, invece, accoglie il ricorso dell’Agenzia e, decidendo nel merito, afferma che l’esenzione da imposte ipotecaria e catastale non si applica agli atti soggetti ad IVA e ad imposta di registro in misura fissa (200 euro) per effetto del principio di alternatività tra IVA e registro.</w:t>
      </w:r>
    </w:p>
    <w:p w14:paraId="43D3F8BB" w14:textId="77777777" w:rsidR="000D4C20" w:rsidRPr="00BD4F55" w:rsidRDefault="000D4C20" w:rsidP="000D4C20">
      <w:pPr>
        <w:pStyle w:val="Paragrafoelenco"/>
        <w:numPr>
          <w:ilvl w:val="0"/>
          <w:numId w:val="38"/>
        </w:numPr>
        <w:spacing w:before="120" w:after="120" w:line="276" w:lineRule="auto"/>
        <w:rPr>
          <w:b/>
          <w:bCs/>
        </w:rPr>
      </w:pPr>
      <w:r w:rsidRPr="00BD4F55">
        <w:t>Sul punto l’orientamento della giurisprudenza della Cassazione risulta ondivago, rilevandosi decisioni contrastanti negli ultimi anni.</w:t>
      </w:r>
    </w:p>
    <w:p w14:paraId="5304C8B2" w14:textId="77777777" w:rsidR="000D4C20" w:rsidRPr="000D4C20" w:rsidRDefault="000D4C20" w:rsidP="000D4C20">
      <w:pPr>
        <w:rPr>
          <w:u w:val="single"/>
        </w:rPr>
      </w:pPr>
      <w:r w:rsidRPr="000D4C20">
        <w:rPr>
          <w:u w:val="single"/>
        </w:rPr>
        <w:t>Osservazioni preliminari</w:t>
      </w:r>
    </w:p>
    <w:p w14:paraId="799425E2" w14:textId="77777777" w:rsidR="000D4C20" w:rsidRPr="0031195C" w:rsidRDefault="000D4C20" w:rsidP="000D4C20">
      <w:r w:rsidRPr="0031195C">
        <w:t xml:space="preserve">La tesi non convince del tutto sotto vari profili: </w:t>
      </w:r>
    </w:p>
    <w:p w14:paraId="437E4B68" w14:textId="77777777" w:rsidR="000D4C20" w:rsidRPr="0031195C" w:rsidRDefault="000D4C20" w:rsidP="000D4C20">
      <w:pPr>
        <w:pStyle w:val="Paragrafoelenco"/>
        <w:numPr>
          <w:ilvl w:val="0"/>
          <w:numId w:val="39"/>
        </w:numPr>
        <w:spacing w:before="120" w:after="120" w:line="276" w:lineRule="auto"/>
      </w:pPr>
      <w:r w:rsidRPr="0031195C">
        <w:t xml:space="preserve">La Cassazione esclude che le imposte ipotecaria e catastale possano essere scorporate dal resto della norma. Tuttavia, questo non appare coerente con il testo dell’art. 32, </w:t>
      </w:r>
      <w:r w:rsidRPr="0031195C">
        <w:lastRenderedPageBreak/>
        <w:t xml:space="preserve">comma 2, che si limita a prevedere l’imposta di registro in misura fissa e l’esenzione da imposte ipotecaria e catastale. </w:t>
      </w:r>
    </w:p>
    <w:p w14:paraId="5F1FBBCE" w14:textId="77777777" w:rsidR="000D4C20" w:rsidRPr="0031195C" w:rsidRDefault="000D4C20" w:rsidP="000D4C20">
      <w:pPr>
        <w:pStyle w:val="Paragrafoelenco"/>
        <w:numPr>
          <w:ilvl w:val="0"/>
          <w:numId w:val="39"/>
        </w:numPr>
        <w:spacing w:before="120" w:after="120" w:line="276" w:lineRule="auto"/>
      </w:pPr>
      <w:r w:rsidRPr="0031195C">
        <w:t>L’obiettivo dell’agevolazione fiscale è eliminare l’onere per imposte sui trasferimenti immobiliari per gli atti relativi all’attuazione di programmi pubblici di edilizia residenziale. Questo dovrebbe essere garantito, rispetto alle imposte ipotecaria e catastale, a prescindere dal regime fiscale ai fini dell’IVA e dell’imposta di registro.</w:t>
      </w:r>
    </w:p>
    <w:p w14:paraId="5F74C4AC" w14:textId="77777777" w:rsidR="000D4C20" w:rsidRPr="0031195C" w:rsidRDefault="000D4C20" w:rsidP="000D4C20">
      <w:pPr>
        <w:pStyle w:val="Paragrafoelenco"/>
        <w:numPr>
          <w:ilvl w:val="0"/>
          <w:numId w:val="39"/>
        </w:numPr>
        <w:spacing w:before="120" w:after="120" w:line="276" w:lineRule="auto"/>
        <w:rPr>
          <w:b/>
          <w:bCs/>
        </w:rPr>
      </w:pPr>
      <w:r w:rsidRPr="0031195C">
        <w:t>L’argomento storico-sistematico (per cui l’art. 32 è successivo all’introduzione dell’IVA, di talché il silenzio sul punto sarebbe una scelta del legislatore) non persuade fino in fondo, potendosi leggere in senso opposto: l’art. 32, comma 2, non prevede quale requisito per l’esenzione che l’atto sia fuori dall’ambito di applicazione dell’IVA.</w:t>
      </w:r>
    </w:p>
    <w:p w14:paraId="17BC0065" w14:textId="77777777" w:rsidR="000D4C20" w:rsidRPr="000D4C20" w:rsidRDefault="000D4C20" w:rsidP="000D4C20">
      <w:pPr>
        <w:rPr>
          <w:u w:val="single"/>
        </w:rPr>
      </w:pPr>
      <w:r w:rsidRPr="000D4C20">
        <w:rPr>
          <w:u w:val="single"/>
        </w:rPr>
        <w:t>Le operazioni rilevanti ai fini dell’IVA</w:t>
      </w:r>
    </w:p>
    <w:p w14:paraId="2267E874" w14:textId="77777777" w:rsidR="000D4C20" w:rsidRPr="004E0C6D" w:rsidRDefault="000D4C20" w:rsidP="000D4C20">
      <w:pPr>
        <w:numPr>
          <w:ilvl w:val="0"/>
          <w:numId w:val="40"/>
        </w:numPr>
        <w:spacing w:before="120" w:after="120"/>
      </w:pPr>
      <w:r w:rsidRPr="004E0C6D">
        <w:t xml:space="preserve">Come noto, le cessioni di immobili possono essere soggette a IVA e comunque a imposta di registro proporzionale del 9%: è il caso, ad esempio, della cessione di fabbricati abitativi in esenzione da IVA. </w:t>
      </w:r>
    </w:p>
    <w:p w14:paraId="074D61BE" w14:textId="77777777" w:rsidR="000D4C20" w:rsidRPr="004E0C6D" w:rsidRDefault="000D4C20" w:rsidP="000D4C20">
      <w:pPr>
        <w:numPr>
          <w:ilvl w:val="0"/>
          <w:numId w:val="40"/>
        </w:numPr>
        <w:spacing w:before="120" w:after="120"/>
      </w:pPr>
      <w:r w:rsidRPr="004E0C6D">
        <w:t xml:space="preserve">Di conseguenza, seguendo la tesi della Cassazione, vi sarebbero operazioni soggette a IVA alle quali si applica l’agevolazione fiscale di cui all’art. 32 e operazioni soggette a IVA, ma esenti da imposta, alle quali non si applicherebbe tale agevolazione. </w:t>
      </w:r>
    </w:p>
    <w:p w14:paraId="3EAB60F5" w14:textId="77777777" w:rsidR="000D4C20" w:rsidRPr="004E0C6D" w:rsidRDefault="000D4C20" w:rsidP="000D4C20">
      <w:pPr>
        <w:numPr>
          <w:ilvl w:val="0"/>
          <w:numId w:val="40"/>
        </w:numPr>
        <w:spacing w:before="120" w:after="120"/>
      </w:pPr>
      <w:r w:rsidRPr="004E0C6D">
        <w:t>Tuttavia, questo risultato non appare coerente con il sistema di tassazione degli atti di trasferimento immobiliare.</w:t>
      </w:r>
    </w:p>
    <w:p w14:paraId="3272BAD7" w14:textId="77777777" w:rsidR="000D4C20" w:rsidRPr="000D4C20" w:rsidRDefault="000D4C20" w:rsidP="000D4C20">
      <w:pPr>
        <w:rPr>
          <w:u w:val="single"/>
        </w:rPr>
      </w:pPr>
      <w:r w:rsidRPr="000D4C20">
        <w:rPr>
          <w:u w:val="single"/>
        </w:rPr>
        <w:t>Le vicende dell’art. 32, comma 2, del D.P.R. n. 601/1973</w:t>
      </w:r>
    </w:p>
    <w:p w14:paraId="3E180822" w14:textId="404ADD48" w:rsidR="000D4C20" w:rsidRPr="004A1AAD" w:rsidRDefault="000D4C20" w:rsidP="000D4C20">
      <w:pPr>
        <w:pStyle w:val="Paragrafoelenco"/>
        <w:numPr>
          <w:ilvl w:val="0"/>
          <w:numId w:val="41"/>
        </w:numPr>
        <w:spacing w:before="120" w:after="120" w:line="276" w:lineRule="auto"/>
      </w:pPr>
      <w:r w:rsidRPr="004A1AAD">
        <w:t xml:space="preserve">L’agevolazione fiscale in esame per gli atti relativi all’attuazione di programmi pubblici di edilizia residenziale era stata soppressa, a partire dal 1° gennaio 2014, nell’ambito della riforma dell’imposta di registro sugli atti di trasferimento di immobili (dall’articolo </w:t>
      </w:r>
      <w:r w:rsidR="00FE0224" w:rsidRPr="004A1AAD">
        <w:t>10, comma</w:t>
      </w:r>
      <w:r w:rsidRPr="004A1AAD">
        <w:t xml:space="preserve"> 4, primo periodo, del Decreto legislativo 14 marzo 2011, n. 23). </w:t>
      </w:r>
    </w:p>
    <w:p w14:paraId="3AFCD53F" w14:textId="5E11CC3D" w:rsidR="000D4C20" w:rsidRPr="004A1AAD" w:rsidRDefault="000D4C20" w:rsidP="000D4C20">
      <w:pPr>
        <w:pStyle w:val="Paragrafoelenco"/>
        <w:numPr>
          <w:ilvl w:val="0"/>
          <w:numId w:val="41"/>
        </w:numPr>
        <w:spacing w:before="120" w:after="120" w:line="276" w:lineRule="auto"/>
        <w:rPr>
          <w:b/>
        </w:rPr>
      </w:pPr>
      <w:r w:rsidRPr="004A1AAD">
        <w:t xml:space="preserve">Successivamente, l’agevolazione è stata espressamente ripristinata dalla Legge 11 novembre 2014, n. 164 in sede di conversione dell’art. 20 comma 4-ter del </w:t>
      </w:r>
      <w:r w:rsidR="00FE0224" w:rsidRPr="004A1AAD">
        <w:t>Decreto-legge</w:t>
      </w:r>
      <w:r w:rsidRPr="004A1AAD">
        <w:t xml:space="preserve"> 12 settembre 2014, n. 133.</w:t>
      </w:r>
    </w:p>
    <w:p w14:paraId="55A89B02" w14:textId="4245680B" w:rsidR="00453C22" w:rsidRPr="005501B2" w:rsidRDefault="00453C22" w:rsidP="00453C22">
      <w:pPr>
        <w:pStyle w:val="SI-Titolo-11Level2"/>
        <w:rPr>
          <w:b w:val="0"/>
          <w:bCs w:val="0"/>
        </w:rPr>
      </w:pPr>
      <w:bookmarkStart w:id="4" w:name="_Toc244264389"/>
      <w:r w:rsidRPr="00CF09B1">
        <w:t>Fondi immobiliari: l’apporto di immobili è soggetto a imposta di registro in misura fissa a prescindere dalla tipologia di immobili</w:t>
      </w:r>
      <w:r w:rsidR="00FA2E74">
        <w:t xml:space="preserve"> | </w:t>
      </w:r>
      <w:r w:rsidR="00FA2E74" w:rsidRPr="00FA2E74">
        <w:rPr>
          <w:i/>
          <w:iCs/>
        </w:rPr>
        <w:t>9 luglio 2026</w:t>
      </w:r>
      <w:bookmarkEnd w:id="4"/>
    </w:p>
    <w:p w14:paraId="404F6CCD" w14:textId="77777777" w:rsidR="00453C22" w:rsidRDefault="00453C22" w:rsidP="00453C22">
      <w:r w:rsidRPr="00CF09B1">
        <w:t>La Cassazione conferma, con alcune pronunce recenti, l’autonomia dello statuto fiscale dei fondi immobiliari rispetto alla disciplina ordinaria dei trasferimenti immobiliari a titolo oneroso.</w:t>
      </w:r>
    </w:p>
    <w:p w14:paraId="420DBC7B" w14:textId="1DF4B565" w:rsidR="00453C22" w:rsidRDefault="00453C22" w:rsidP="00453C22">
      <w:pPr>
        <w:rPr>
          <w:i/>
          <w:iCs/>
        </w:rPr>
      </w:pPr>
      <w:r w:rsidRPr="00CF09B1">
        <w:rPr>
          <w:i/>
          <w:iCs/>
        </w:rPr>
        <w:t xml:space="preserve">Cass. civ. Sez. V Ordinanza 18 giugno 2026, n. 20759 Ordinanze </w:t>
      </w:r>
      <w:r w:rsidR="00FA2E74" w:rsidRPr="00CF09B1">
        <w:rPr>
          <w:i/>
          <w:iCs/>
        </w:rPr>
        <w:t>1</w:t>
      </w:r>
      <w:r w:rsidR="00FA2E74">
        <w:rPr>
          <w:i/>
          <w:iCs/>
        </w:rPr>
        <w:t>° luglio</w:t>
      </w:r>
      <w:r w:rsidRPr="00CF09B1">
        <w:rPr>
          <w:i/>
          <w:iCs/>
        </w:rPr>
        <w:t xml:space="preserve"> 2026, nn.</w:t>
      </w:r>
      <w:r w:rsidR="00FA2E74">
        <w:rPr>
          <w:i/>
          <w:iCs/>
        </w:rPr>
        <w:t xml:space="preserve"> </w:t>
      </w:r>
      <w:r w:rsidRPr="00CF09B1">
        <w:rPr>
          <w:i/>
          <w:iCs/>
        </w:rPr>
        <w:t>22561</w:t>
      </w:r>
      <w:r w:rsidR="00FA2E74">
        <w:rPr>
          <w:i/>
          <w:iCs/>
        </w:rPr>
        <w:t xml:space="preserve"> </w:t>
      </w:r>
      <w:r w:rsidRPr="00CF09B1">
        <w:rPr>
          <w:i/>
          <w:iCs/>
        </w:rPr>
        <w:t>e</w:t>
      </w:r>
      <w:r w:rsidR="00FA2E74">
        <w:rPr>
          <w:i/>
          <w:iCs/>
        </w:rPr>
        <w:t xml:space="preserve"> </w:t>
      </w:r>
      <w:r w:rsidRPr="00CF09B1">
        <w:rPr>
          <w:i/>
          <w:iCs/>
        </w:rPr>
        <w:t>22564 Conforme: Sentenza n.</w:t>
      </w:r>
      <w:r w:rsidR="00FA2E74">
        <w:rPr>
          <w:i/>
          <w:iCs/>
        </w:rPr>
        <w:t xml:space="preserve"> </w:t>
      </w:r>
      <w:r w:rsidRPr="00CF09B1">
        <w:rPr>
          <w:i/>
          <w:iCs/>
        </w:rPr>
        <w:t>3218/2024</w:t>
      </w:r>
    </w:p>
    <w:p w14:paraId="5C3627B5" w14:textId="77777777" w:rsidR="00453C22" w:rsidRPr="00453C22" w:rsidRDefault="00453C22" w:rsidP="00453C22">
      <w:pPr>
        <w:rPr>
          <w:u w:val="single"/>
        </w:rPr>
      </w:pPr>
      <w:r w:rsidRPr="00453C22">
        <w:rPr>
          <w:u w:val="single"/>
        </w:rPr>
        <w:t>Il caso</w:t>
      </w:r>
    </w:p>
    <w:p w14:paraId="249E32E8" w14:textId="77777777" w:rsidR="00453C22" w:rsidRPr="00FA2E74" w:rsidRDefault="00453C22" w:rsidP="00453C22">
      <w:pPr>
        <w:rPr>
          <w:i/>
          <w:iCs/>
        </w:rPr>
      </w:pPr>
      <w:r w:rsidRPr="00FA2E74">
        <w:rPr>
          <w:i/>
          <w:iCs/>
        </w:rPr>
        <w:t>Sottoscrizione di quote di un Fondo immobiliare mediante apporto di immobili</w:t>
      </w:r>
    </w:p>
    <w:p w14:paraId="6413B430" w14:textId="77777777" w:rsidR="00453C22" w:rsidRPr="00FA2E74" w:rsidRDefault="00453C22" w:rsidP="00453C22">
      <w:r w:rsidRPr="00FA2E74">
        <w:t xml:space="preserve">La tesi dell’Agenzia delle Entrate: </w:t>
      </w:r>
    </w:p>
    <w:p w14:paraId="62F48155" w14:textId="77777777" w:rsidR="00453C22" w:rsidRDefault="00453C22" w:rsidP="00453C22">
      <w:r w:rsidRPr="00DD5DC5">
        <w:lastRenderedPageBreak/>
        <w:t>Avviso di liquidazione per imposta di registro proporzionale del 9% (art. 1, Tariffa Parte I, D.P.R. n. 131/1986) sull’apporto da parte di una banca a un Fondo immobiliare di immobili diversi da quelli strumentali per natura.</w:t>
      </w:r>
    </w:p>
    <w:p w14:paraId="5912894C" w14:textId="77777777" w:rsidR="00453C22" w:rsidRPr="00FA2E74" w:rsidRDefault="00453C22" w:rsidP="00453C22">
      <w:r w:rsidRPr="00FA2E74">
        <w:t>La tesi del contribuente:</w:t>
      </w:r>
    </w:p>
    <w:p w14:paraId="372A0645" w14:textId="77777777" w:rsidR="00453C22" w:rsidRDefault="00453C22" w:rsidP="00453C22">
      <w:r w:rsidRPr="0040310E">
        <w:t>Applicazione del regime speciale previsto per gli «atti relativi alla istituzione di Fondi comuni di investimento e alla sottoscrizione delle quote» che comporta l’imposta di registro in misura fissa di 200 euro (art. 7 della Tabella del D.P.R. n. 131/1986 e art. 9 del D.L. n. 351/2001)</w:t>
      </w:r>
      <w:r>
        <w:t>.</w:t>
      </w:r>
    </w:p>
    <w:p w14:paraId="623F60DA" w14:textId="4FDFB6F0" w:rsidR="00453C22" w:rsidRDefault="00453C22" w:rsidP="00453C22">
      <w:pPr>
        <w:rPr>
          <w:i/>
          <w:iCs/>
        </w:rPr>
      </w:pPr>
      <w:r w:rsidRPr="00CA4E44">
        <w:rPr>
          <w:i/>
          <w:iCs/>
        </w:rPr>
        <w:t>La questione ai fini dell’imposta di registro nel caso di apporto di immobili a un Fondo immobiliare per sottoscrivere quote di partecipazione: il regime speciale per gli «atti relativi alla istituzione di fondi comuni di investimento e alla sottoscrizione delle quote» deve ritenersi abrogato per effetto della riforma dell’imposta di registro sui trasferimenti immobiliari del 2011?</w:t>
      </w:r>
    </w:p>
    <w:p w14:paraId="4CE61A30" w14:textId="77777777" w:rsidR="00453C22" w:rsidRPr="00FA2E74" w:rsidRDefault="00453C22" w:rsidP="00453C22">
      <w:pPr>
        <w:rPr>
          <w:u w:val="single"/>
        </w:rPr>
      </w:pPr>
      <w:r w:rsidRPr="00FA2E74">
        <w:rPr>
          <w:u w:val="single"/>
        </w:rPr>
        <w:t>La decisione</w:t>
      </w:r>
    </w:p>
    <w:p w14:paraId="32877B68" w14:textId="77777777" w:rsidR="00453C22" w:rsidRPr="00FA2E74" w:rsidRDefault="00453C22" w:rsidP="00453C22">
      <w:r w:rsidRPr="00FA2E74">
        <w:t>La Cassazione conferma l’applicabilità dell’imposta di registro in misura fissa</w:t>
      </w:r>
    </w:p>
    <w:p w14:paraId="129601B3" w14:textId="77777777" w:rsidR="00453C22" w:rsidRDefault="00453C22" w:rsidP="00453C22">
      <w:pPr>
        <w:pStyle w:val="Paragrafoelenco"/>
        <w:numPr>
          <w:ilvl w:val="0"/>
          <w:numId w:val="32"/>
        </w:numPr>
        <w:spacing w:before="120" w:after="120" w:line="276" w:lineRule="auto"/>
      </w:pPr>
      <w:r w:rsidRPr="00723BCB">
        <w:t>Il regime speciale per i Fondi di cui all’art. 7 della Tabella del D.P.R. n. 131/1986 (applicabile ai Fondi immobiliari ai sensi dell’art. 9 del D.L. n. 351/2001), che comporta l’imposta di registro di 200 euro, non ha natura agevolativa, ma costituisce disciplina ordinaria per gli atti di dotazione dei Fondi immobiliari.</w:t>
      </w:r>
    </w:p>
    <w:p w14:paraId="1FCBFD5B" w14:textId="77777777" w:rsidR="00453C22" w:rsidRDefault="00453C22" w:rsidP="00453C22">
      <w:pPr>
        <w:pStyle w:val="Paragrafoelenco"/>
        <w:numPr>
          <w:ilvl w:val="0"/>
          <w:numId w:val="32"/>
        </w:numPr>
        <w:spacing w:before="120" w:after="120" w:line="276" w:lineRule="auto"/>
      </w:pPr>
      <w:r w:rsidRPr="008477C6">
        <w:t>Gli apporti al Fondo per la sottoscrizione di quote non rientrano, ai fini dell’imposta di registro, tra gli atti di trasferimento di immobili a Titolo oneroso di cui all’art. 1 della Tariffa, Parte I, D.P.R. n. 131/1986.</w:t>
      </w:r>
    </w:p>
    <w:p w14:paraId="6FC350EA" w14:textId="77777777" w:rsidR="00453C22" w:rsidRDefault="00453C22" w:rsidP="00453C22">
      <w:pPr>
        <w:pStyle w:val="Paragrafoelenco"/>
        <w:numPr>
          <w:ilvl w:val="0"/>
          <w:numId w:val="32"/>
        </w:numPr>
        <w:spacing w:before="120" w:after="120" w:line="276" w:lineRule="auto"/>
      </w:pPr>
      <w:r w:rsidRPr="000A2EAA">
        <w:t>Pertanto, il predetto regime speciale non è stato abrogato dalla riforma dell’imposta di registro sui trasferimenti immobiliari del 2011 che ha abrogato varie agevolazioni fiscali relative agli atti di trasferimento a titolo oneroso degli immobili.</w:t>
      </w:r>
    </w:p>
    <w:p w14:paraId="40108B39" w14:textId="77777777" w:rsidR="00453C22" w:rsidRPr="00FA2E74" w:rsidRDefault="00453C22" w:rsidP="00453C22">
      <w:pPr>
        <w:rPr>
          <w:u w:val="single"/>
        </w:rPr>
      </w:pPr>
      <w:r w:rsidRPr="00FA2E74">
        <w:rPr>
          <w:u w:val="single"/>
        </w:rPr>
        <w:t>Le motivazioni della Cassazione</w:t>
      </w:r>
    </w:p>
    <w:p w14:paraId="55B9F00F" w14:textId="77777777" w:rsidR="00453C22" w:rsidRPr="0028063D" w:rsidRDefault="00453C22" w:rsidP="00453C22">
      <w:r w:rsidRPr="0028063D">
        <w:t>Il D.L. n. 351/2001 come statuto fiscale dei Fondi immobiliari</w:t>
      </w:r>
    </w:p>
    <w:p w14:paraId="593B4DEF" w14:textId="77777777" w:rsidR="00453C22" w:rsidRDefault="00453C22" w:rsidP="00453C22">
      <w:r w:rsidRPr="00E05E7C">
        <w:t>La giurisprudenza della Cassazione ravvisa nel D.L. n. 351/2001, che disciplina la fiscalità dei Fondi immobiliari, lo statuto fiscale autonomo dei Fondi Immobiliari ai fini delle varie imposte, inclusa l’imposta di registro</w:t>
      </w:r>
      <w:r>
        <w:t>.</w:t>
      </w:r>
    </w:p>
    <w:p w14:paraId="5329A589" w14:textId="77777777" w:rsidR="00453C22" w:rsidRPr="003B7FCE" w:rsidRDefault="00453C22" w:rsidP="00453C22">
      <w:pPr>
        <w:pStyle w:val="Paragrafoelenco"/>
        <w:numPr>
          <w:ilvl w:val="0"/>
          <w:numId w:val="35"/>
        </w:numPr>
        <w:spacing w:before="120" w:after="120" w:line="276" w:lineRule="auto"/>
      </w:pPr>
      <w:r w:rsidRPr="0028063D">
        <w:t>Insieme di norme autonomo</w:t>
      </w:r>
      <w:r w:rsidRPr="003B7FCE">
        <w:t>: Il D.L. n. 351/2001 (Disposizioni in materia di fondi comuni d’investimento immobiliare) prevede l’insieme delle norme fiscali sui Fondi immobiliari in modo separato.</w:t>
      </w:r>
    </w:p>
    <w:p w14:paraId="7FC05F31" w14:textId="77777777" w:rsidR="00453C22" w:rsidRPr="0028063D" w:rsidRDefault="00453C22" w:rsidP="00453C22">
      <w:pPr>
        <w:pStyle w:val="Paragrafoelenco"/>
        <w:numPr>
          <w:ilvl w:val="0"/>
          <w:numId w:val="33"/>
        </w:numPr>
        <w:spacing w:before="120" w:after="120" w:line="276" w:lineRule="auto"/>
      </w:pPr>
      <w:r w:rsidRPr="0028063D">
        <w:t>Copertura dell'intero ciclo di vita: questo statuto regola ogni aspetto fiscalmente rilevante: istituzione, sottoscrizione delle quote, gestione degli immobili, distribuzione dei proventi.</w:t>
      </w:r>
    </w:p>
    <w:p w14:paraId="1210E69F" w14:textId="77777777" w:rsidR="00453C22" w:rsidRPr="0028063D" w:rsidRDefault="00453C22" w:rsidP="00453C22">
      <w:pPr>
        <w:pStyle w:val="Paragrafoelenco"/>
        <w:numPr>
          <w:ilvl w:val="0"/>
          <w:numId w:val="33"/>
        </w:numPr>
        <w:spacing w:before="120" w:after="120" w:line="276" w:lineRule="auto"/>
      </w:pPr>
      <w:r w:rsidRPr="0028063D">
        <w:t>Disciplina globale e sistematica: Le norme sui Fondi immobiliari si inseriscono in un impianto impositivo tendenzialmente completo e storicamente radicato dal 2001.</w:t>
      </w:r>
    </w:p>
    <w:p w14:paraId="2D6C1324" w14:textId="77777777" w:rsidR="00453C22" w:rsidRDefault="00453C22" w:rsidP="00453C22">
      <w:pPr>
        <w:pStyle w:val="Paragrafoelenco"/>
        <w:numPr>
          <w:ilvl w:val="0"/>
          <w:numId w:val="33"/>
        </w:numPr>
        <w:spacing w:before="120" w:after="120" w:line="276" w:lineRule="auto"/>
      </w:pPr>
      <w:r w:rsidRPr="0028063D">
        <w:t>Finalità di sviluppo del settore: Il D.L. n. 351/2001 è stato introdotto con l’obiettivo di sostenere lo sviluppo dei Fondi immobiliari.</w:t>
      </w:r>
    </w:p>
    <w:p w14:paraId="3C1172DC" w14:textId="77777777" w:rsidR="00A5118F" w:rsidRPr="0028063D" w:rsidRDefault="00A5118F" w:rsidP="00A5118F">
      <w:pPr>
        <w:spacing w:before="120" w:after="120"/>
        <w:ind w:left="360"/>
      </w:pPr>
    </w:p>
    <w:p w14:paraId="26271A74" w14:textId="77777777" w:rsidR="00453C22" w:rsidRPr="0028063D" w:rsidRDefault="00453C22" w:rsidP="00453C22">
      <w:pPr>
        <w:rPr>
          <w:u w:val="single"/>
        </w:rPr>
      </w:pPr>
      <w:r w:rsidRPr="0028063D">
        <w:rPr>
          <w:u w:val="single"/>
        </w:rPr>
        <w:lastRenderedPageBreak/>
        <w:t>In sintesi</w:t>
      </w:r>
    </w:p>
    <w:p w14:paraId="452EADD4" w14:textId="77777777" w:rsidR="00453C22" w:rsidRPr="0028063D" w:rsidRDefault="00453C22" w:rsidP="00453C22">
      <w:r w:rsidRPr="0028063D">
        <w:t>L’impatto sugli atti di apporto di immobili a Fondi immobiliari</w:t>
      </w:r>
    </w:p>
    <w:p w14:paraId="2ACF881E" w14:textId="77777777" w:rsidR="00453C22" w:rsidRDefault="00453C22" w:rsidP="00453C22">
      <w:pPr>
        <w:pStyle w:val="Paragrafoelenco"/>
        <w:numPr>
          <w:ilvl w:val="0"/>
          <w:numId w:val="34"/>
        </w:numPr>
        <w:spacing w:before="120" w:after="120" w:line="276" w:lineRule="auto"/>
      </w:pPr>
      <w:r w:rsidRPr="00C74679">
        <w:t xml:space="preserve">L’apporto di immobili a un Fondo immobiliare per la sottoscrizione di quote di partecipazione è soggetto a imposta di registro in misura fissa (200 euro) e non in misura proporzionale (9%) a prescindere dalla tipologia di immobile. </w:t>
      </w:r>
    </w:p>
    <w:p w14:paraId="76A5A22A" w14:textId="77777777" w:rsidR="00453C22" w:rsidRPr="005F456D" w:rsidRDefault="00453C22" w:rsidP="00453C22">
      <w:pPr>
        <w:pStyle w:val="Paragrafoelenco"/>
        <w:numPr>
          <w:ilvl w:val="0"/>
          <w:numId w:val="34"/>
        </w:numPr>
        <w:spacing w:before="120" w:after="120" w:line="276" w:lineRule="auto"/>
      </w:pPr>
      <w:r w:rsidRPr="005F456D">
        <w:t>Come noto, l’apporto di immobili strumentali (in sintesi non residenziali) se rientra nell’ambito dell’IVA è comunque soggetto a imposta di registro in misura fissa in base al principio di alternatività tra IVA e imposta di registro.</w:t>
      </w:r>
    </w:p>
    <w:p w14:paraId="4B4B1919" w14:textId="77777777" w:rsidR="00453C22" w:rsidRPr="00D334F8" w:rsidRDefault="00453C22" w:rsidP="00453C22">
      <w:pPr>
        <w:pStyle w:val="Paragrafoelenco"/>
        <w:numPr>
          <w:ilvl w:val="0"/>
          <w:numId w:val="34"/>
        </w:numPr>
        <w:spacing w:before="120" w:after="120" w:line="276" w:lineRule="auto"/>
      </w:pPr>
      <w:r w:rsidRPr="00D334F8">
        <w:t>Per contro, l’apporto di immobili al di fuori dell’IVA e l’apporto di immobili residenziali in regime di esenzione da IVA sarebbero soggetti al registro del 9% in assenza del regime speciale per gli atti di sottoscrizione di quote di Fondi comuni d’investimento.</w:t>
      </w:r>
    </w:p>
    <w:p w14:paraId="455AD779" w14:textId="77777777" w:rsidR="00453C22" w:rsidRPr="00A16EC7" w:rsidRDefault="00453C22" w:rsidP="00453C22">
      <w:pPr>
        <w:pStyle w:val="SI-Titolo-11Level2"/>
      </w:pPr>
      <w:bookmarkStart w:id="5" w:name="_Toc244264390"/>
      <w:r w:rsidRPr="00547417">
        <w:t>Trust e immobili: nuove regole in arrivo per le imposte ipotecaria e catastale</w:t>
      </w:r>
      <w:r>
        <w:t xml:space="preserve"> | </w:t>
      </w:r>
      <w:r w:rsidRPr="00C341BA">
        <w:rPr>
          <w:i/>
          <w:iCs/>
        </w:rPr>
        <w:t>7 luglio 2026</w:t>
      </w:r>
      <w:bookmarkEnd w:id="5"/>
    </w:p>
    <w:p w14:paraId="49090E1B" w14:textId="77777777" w:rsidR="00453C22" w:rsidRDefault="00453C22" w:rsidP="00453C22">
      <w:r>
        <w:t xml:space="preserve">L’art. 13 dello schema di D.Lgs. Correttivo Omnibus, approvato dal Consiglio dei Ministri il 10 giugno 2026 e ora all’esame del Parlamento, interviene sulla disciplina fiscale dei trasferimenti immobiliari relativi ai trust. </w:t>
      </w:r>
    </w:p>
    <w:p w14:paraId="7B6EF0C8" w14:textId="77777777" w:rsidR="00453C22" w:rsidRPr="001746A2" w:rsidRDefault="00453C22" w:rsidP="00453C22">
      <w:pPr>
        <w:spacing w:line="240" w:lineRule="auto"/>
        <w:rPr>
          <w:lang w:val="en-GB"/>
        </w:rPr>
      </w:pPr>
      <w:r w:rsidRPr="00164FEE">
        <w:rPr>
          <w:lang w:val="en-US"/>
        </w:rPr>
        <w:t>Art. 4-bis D.Lgs. 346/90</w:t>
      </w:r>
    </w:p>
    <w:p w14:paraId="6A1813BA" w14:textId="77777777" w:rsidR="00453C22" w:rsidRPr="00EC69B1" w:rsidRDefault="00453C22" w:rsidP="00453C22">
      <w:pPr>
        <w:spacing w:line="240" w:lineRule="auto"/>
        <w:rPr>
          <w:lang w:val="en-US"/>
        </w:rPr>
      </w:pPr>
      <w:r w:rsidRPr="00EC69B1">
        <w:rPr>
          <w:lang w:val="en-US"/>
        </w:rPr>
        <w:t>(art. 90 D.Lgs. 123/2025 dal 1° gennaio 2027)</w:t>
      </w:r>
    </w:p>
    <w:p w14:paraId="38B9B624" w14:textId="77777777" w:rsidR="00453C22" w:rsidRPr="006427FE" w:rsidRDefault="00453C22" w:rsidP="00453C22">
      <w:r w:rsidRPr="006427FE">
        <w:t>Il regime attuale: tassazione in uscita / opzione per la tassazione in entrata solo per l’imposta su successioni e donazioni</w:t>
      </w:r>
    </w:p>
    <w:p w14:paraId="478D4850" w14:textId="77777777" w:rsidR="00453C22" w:rsidRPr="006427FE" w:rsidRDefault="00453C22" w:rsidP="00453C22">
      <w:pPr>
        <w:pStyle w:val="Paragrafoelenco"/>
        <w:numPr>
          <w:ilvl w:val="0"/>
          <w:numId w:val="17"/>
        </w:numPr>
        <w:ind w:hanging="720"/>
      </w:pPr>
      <w:r w:rsidRPr="006427FE">
        <w:t>Regola generale: Tassazione “in uscita”: L’imposta su successioni/donazioni si applica al trasferimento dei beni dal trust ai beneficiari.</w:t>
      </w:r>
    </w:p>
    <w:p w14:paraId="121BF89C" w14:textId="77777777" w:rsidR="00453C22" w:rsidRDefault="00453C22" w:rsidP="00453C22">
      <w:pPr>
        <w:pStyle w:val="Paragrafoelenco"/>
        <w:numPr>
          <w:ilvl w:val="0"/>
          <w:numId w:val="17"/>
        </w:numPr>
        <w:ind w:hanging="720"/>
      </w:pPr>
      <w:r w:rsidRPr="006427FE">
        <w:t>Opzione: Tassazione “in entrata”:</w:t>
      </w:r>
      <w:r>
        <w:t xml:space="preserve"> È possibile optare per l’imposizione al momento del conferimento dei beni in trust.</w:t>
      </w:r>
    </w:p>
    <w:p w14:paraId="561D4074" w14:textId="77777777" w:rsidR="00453C22" w:rsidRDefault="00453C22" w:rsidP="00453C22">
      <w:r>
        <w:t>Attualmente l’opzione per la tassazione in entrata fa riferimento alla sola imposta sulle successioni e donazioni. Le imposte ipotecaria e catastale restano fuori dal perimetro dell’opzione, quindi, di regola, queste imposte si applicheranno in misura proporzionale al momento del trasferimento degli immobili dal trust ai beneficiari del trust (cfr. Agenzia delle Entrate, Circolare n. 34 del 2022).</w:t>
      </w:r>
    </w:p>
    <w:p w14:paraId="3B3E7C6E" w14:textId="77777777" w:rsidR="00453C22" w:rsidRPr="00164FEE" w:rsidRDefault="00453C22" w:rsidP="00453C22">
      <w:pPr>
        <w:rPr>
          <w:u w:val="single"/>
        </w:rPr>
      </w:pPr>
      <w:r w:rsidRPr="00164FEE">
        <w:rPr>
          <w:u w:val="single"/>
        </w:rPr>
        <w:t>Sintesi della situazione attuale</w:t>
      </w:r>
    </w:p>
    <w:p w14:paraId="67385D14" w14:textId="77777777" w:rsidR="00453C22" w:rsidRDefault="00453C22" w:rsidP="00453C22">
      <w:r>
        <w:t>Come rilevato dall’Agenzia delle Entrate nella Circolare n. 34 del 2022:</w:t>
      </w:r>
    </w:p>
    <w:p w14:paraId="7857AF4A" w14:textId="77777777" w:rsidR="00453C22" w:rsidRDefault="00453C22" w:rsidP="00453C22">
      <w:pPr>
        <w:pStyle w:val="Paragrafoelenco"/>
        <w:numPr>
          <w:ilvl w:val="0"/>
          <w:numId w:val="18"/>
        </w:numPr>
        <w:ind w:hanging="720"/>
      </w:pPr>
      <w:r>
        <w:t>le imposte ipotecaria e catastale sono dovute per le formalità di trascrizione di atti che importano trasferimento di proprietà di immobili e per le volture catastali conseguenti ai medesimi atti;</w:t>
      </w:r>
    </w:p>
    <w:p w14:paraId="56ECA0B8" w14:textId="77777777" w:rsidR="00453C22" w:rsidRDefault="00453C22" w:rsidP="00453C22">
      <w:pPr>
        <w:pStyle w:val="Paragrafoelenco"/>
        <w:numPr>
          <w:ilvl w:val="0"/>
          <w:numId w:val="18"/>
        </w:numPr>
        <w:ind w:hanging="720"/>
      </w:pPr>
      <w:r>
        <w:lastRenderedPageBreak/>
        <w:t>secondo il consolidato orientamento della Corte di Cassazione in materia di trust, gli atti di dotazione dei beni in trust comportano trasferimenti di beni meramente strumentali agli scopi del trust e non si traducono in effettivi trasferimenti di ricchezza dal disponente al trustee;</w:t>
      </w:r>
    </w:p>
    <w:p w14:paraId="4EDE8FFB" w14:textId="77777777" w:rsidR="00453C22" w:rsidRDefault="00453C22" w:rsidP="00453C22">
      <w:pPr>
        <w:pStyle w:val="Paragrafoelenco"/>
        <w:numPr>
          <w:ilvl w:val="0"/>
          <w:numId w:val="18"/>
        </w:numPr>
        <w:ind w:hanging="720"/>
      </w:pPr>
      <w:r>
        <w:t>l’effettivo trasferimento di ricchezza mediante un’attribuzione patrimoniale stabile si realizza solo all’atto di attribuzione del bene al beneficiario del trust;</w:t>
      </w:r>
    </w:p>
    <w:p w14:paraId="4B46618E" w14:textId="77777777" w:rsidR="00453C22" w:rsidRDefault="00453C22" w:rsidP="00453C22">
      <w:pPr>
        <w:pStyle w:val="Paragrafoelenco"/>
        <w:numPr>
          <w:ilvl w:val="0"/>
          <w:numId w:val="18"/>
        </w:numPr>
        <w:ind w:hanging="720"/>
      </w:pPr>
      <w:r>
        <w:t>pertanto, le formalità e le volture catastali eseguite in dipendenza del conferimento di immobili al trust sono soggette alle imposte ipotecaria e catastale in misura fissa di 200 euro e non in misura proporzionale (di regola, 3% o 4%).</w:t>
      </w:r>
    </w:p>
    <w:p w14:paraId="66196877" w14:textId="77777777" w:rsidR="00453C22" w:rsidRPr="00164FEE" w:rsidRDefault="00453C22" w:rsidP="00453C22">
      <w:pPr>
        <w:rPr>
          <w:u w:val="single"/>
        </w:rPr>
      </w:pPr>
      <w:r w:rsidRPr="00164FEE">
        <w:rPr>
          <w:u w:val="single"/>
        </w:rPr>
        <w:t>Cosa cambia: l’opzione estesa alle imposte ipotecaria e catastale</w:t>
      </w:r>
    </w:p>
    <w:p w14:paraId="77C97BF0" w14:textId="77777777" w:rsidR="00453C22" w:rsidRPr="006427FE" w:rsidRDefault="00453C22" w:rsidP="00453C22">
      <w:r w:rsidRPr="006427FE">
        <w:t>Tutte le imposte in esame – imposta sulle successioni/donazioni, imposta ipotecaria e imposta catastale – potranno essere corrisposte al momento del conferimento degli immobili in trust, con un’unica scelta operativa.</w:t>
      </w:r>
    </w:p>
    <w:p w14:paraId="07A496CF" w14:textId="77777777" w:rsidR="00453C22" w:rsidRPr="006427FE" w:rsidRDefault="00453C22" w:rsidP="00453C22">
      <w:r w:rsidRPr="006427FE">
        <w:t>Si realizza così il pieno coordinamento tra le diverse imposte indirette gravanti sui trasferimenti immobiliari nell’ambito del trust.</w:t>
      </w:r>
    </w:p>
    <w:p w14:paraId="503A36F9" w14:textId="77777777" w:rsidR="00453C22" w:rsidRPr="00164FEE" w:rsidRDefault="00453C22" w:rsidP="00453C22">
      <w:pPr>
        <w:rPr>
          <w:u w:val="single"/>
        </w:rPr>
      </w:pPr>
      <w:r w:rsidRPr="00164FEE">
        <w:rPr>
          <w:u w:val="single"/>
        </w:rPr>
        <w:t>Considerazioni sulla nuova norma</w:t>
      </w:r>
    </w:p>
    <w:p w14:paraId="645BDC00" w14:textId="77777777" w:rsidR="00453C22" w:rsidRDefault="00453C22" w:rsidP="00453C22">
      <w:r>
        <w:t>L’atto di attribuzione degli immobili al beneficiario del trust sarà soggetto alle imposte ipotecaria e catastale (ad es., 3%), salvo che il disponente abbia optato per anticipare le imposte proporzionali al momento del conferimento dei beni al trust.</w:t>
      </w:r>
    </w:p>
    <w:p w14:paraId="3313DB45" w14:textId="77777777" w:rsidR="00453C22" w:rsidRDefault="00453C22" w:rsidP="00453C22">
      <w:r>
        <w:t>La nuova disposizione non precisa, al momento, se l’opzione deve riguardare necessariamente tutte le imposte indirette (successioni/donazioni, ipotecaria e catastale) o se è possibile optare per regimi diversi per le varie imposte – ad es.: applicare l’imposta sulle donazioni al conferimento degli immobili al trust e rinviare le imposte ipotecaria e catastale al successivo trasferimento degli immobili dal trust al beneficiario.</w:t>
      </w:r>
    </w:p>
    <w:p w14:paraId="2CA614AA" w14:textId="37E2AF06" w:rsidR="00386EE0" w:rsidRPr="00A16EC7" w:rsidRDefault="00453C22" w:rsidP="00164FEE">
      <w:r>
        <w:t>Nonostante questa norma di coordinamento, restano alcune questioni aperte sull’applicazione delle imposte indirette nelle varie configurazioni del trust.</w:t>
      </w:r>
    </w:p>
    <w:p w14:paraId="410F7160" w14:textId="77777777" w:rsidR="00B661DC" w:rsidRPr="00A16EC7" w:rsidRDefault="00372B27" w:rsidP="00372B27">
      <w:pPr>
        <w:pStyle w:val="SI-Titolo-1Level1"/>
      </w:pPr>
      <w:bookmarkStart w:id="6" w:name="_Toc244264391"/>
      <w:r w:rsidRPr="00A16EC7">
        <w:t>Diritto Urbanistico</w:t>
      </w:r>
      <w:bookmarkEnd w:id="6"/>
    </w:p>
    <w:p w14:paraId="280210FE" w14:textId="2DB9C73F" w:rsidR="00164FEE" w:rsidRDefault="00164FEE" w:rsidP="00164FEE">
      <w:pPr>
        <w:pStyle w:val="SI-Titolo-11Level2"/>
      </w:pPr>
      <w:bookmarkStart w:id="7" w:name="_Toc244264392"/>
      <w:r w:rsidRPr="00FE4E63">
        <w:t>L’intervento di Guido Alberto Inzaghi a Green Street News sul nuovo Piano Casa</w:t>
      </w:r>
      <w:r>
        <w:t xml:space="preserve"> </w:t>
      </w:r>
      <w:r w:rsidR="00A81310">
        <w:t>|</w:t>
      </w:r>
      <w:r>
        <w:t xml:space="preserve"> </w:t>
      </w:r>
      <w:r w:rsidRPr="00C341BA">
        <w:rPr>
          <w:i/>
          <w:iCs/>
        </w:rPr>
        <w:t>11 settembre 2026</w:t>
      </w:r>
      <w:bookmarkEnd w:id="7"/>
    </w:p>
    <w:p w14:paraId="7252B40A" w14:textId="77777777" w:rsidR="00164FEE" w:rsidRPr="00243E49" w:rsidRDefault="00164FEE" w:rsidP="00164FEE">
      <w:r>
        <w:t xml:space="preserve">Il nostro </w:t>
      </w:r>
      <w:r w:rsidRPr="00923D0E">
        <w:rPr>
          <w:i/>
          <w:iCs/>
        </w:rPr>
        <w:t>Managing Partner</w:t>
      </w:r>
      <w:r>
        <w:t xml:space="preserve"> </w:t>
      </w:r>
      <w:r w:rsidRPr="00243E49">
        <w:t>Guido Alberto Inzaghi</w:t>
      </w:r>
      <w:r>
        <w:t xml:space="preserve"> è </w:t>
      </w:r>
      <w:r w:rsidRPr="00243E49">
        <w:t>intervenuto su Green Street News sul nuovo Piano Casa e sulle opportunità che può aprire per il mercato residenziale italiano.</w:t>
      </w:r>
    </w:p>
    <w:p w14:paraId="69D1E6AE" w14:textId="77777777" w:rsidR="00164FEE" w:rsidRPr="00243E49" w:rsidRDefault="00164FEE" w:rsidP="00164FEE">
      <w:r w:rsidRPr="00243E49">
        <w:t xml:space="preserve">La crescente difficoltà di accesso alla casa non riguarda più soltanto le grandi città come Milano e Roma, ma interessa anche territori caratterizzati da una forte presenza del settore turistico e </w:t>
      </w:r>
      <w:r w:rsidRPr="00243E49">
        <w:lastRenderedPageBreak/>
        <w:t>del lusso, come il Lago di Como, dove la scarsità di alloggi per il personale rischia di diventare un limite concreto alla crescita.</w:t>
      </w:r>
    </w:p>
    <w:p w14:paraId="348B9593" w14:textId="77777777" w:rsidR="00164FEE" w:rsidRPr="00243E49" w:rsidRDefault="00164FEE" w:rsidP="00164FEE">
      <w:r w:rsidRPr="00243E49">
        <w:t>In questo contesto, il Piano Casa introduce strumenti pensati per favorire la mobilitazione di capitali privati su larga scala. Per gli investimenti superiori a 1 miliardo di euro, sono previsti incentivi significativi, tra cui un incremento volumetrico del 35%, procedure urbanistiche semplificate e l’esclusione dell’edilizia accessibile dal calcolo della superficie massima autorizzata.</w:t>
      </w:r>
    </w:p>
    <w:p w14:paraId="69F6059C" w14:textId="77777777" w:rsidR="00164FEE" w:rsidRDefault="00164FEE" w:rsidP="00164FEE">
      <w:r w:rsidRPr="00243E49">
        <w:t>A fronte di questi benefici, almeno il 70% dell’investimento</w:t>
      </w:r>
      <w:r>
        <w:t xml:space="preserve"> dovrà essere destinato all’edilizia convenzionata, con prezzi di vendita o locazione inferiori di almeno il 33% rispetto al mercato e un vincolo trentennale.</w:t>
      </w:r>
    </w:p>
    <w:p w14:paraId="1E423061" w14:textId="77777777" w:rsidR="00164FEE" w:rsidRDefault="00164FEE" w:rsidP="00164FEE">
      <w:r>
        <w:t>Un nuovo quadro normativo che punta a rendere l’housing accessibile parte integrante delle strategie di sviluppo e investimento del Paese.</w:t>
      </w:r>
    </w:p>
    <w:p w14:paraId="6C46B2A2" w14:textId="77777777" w:rsidR="00164FEE" w:rsidRDefault="00164FEE" w:rsidP="00164FEE">
      <w:r>
        <w:t xml:space="preserve">Per visionare l’intero articolo cliccare </w:t>
      </w:r>
      <w:hyperlink r:id="rId14" w:history="1">
        <w:r w:rsidRPr="0007042F">
          <w:rPr>
            <w:rStyle w:val="Collegamentoipertestuale"/>
          </w:rPr>
          <w:t>qui</w:t>
        </w:r>
      </w:hyperlink>
      <w:r>
        <w:t>.</w:t>
      </w:r>
    </w:p>
    <w:p w14:paraId="2DBC73C8" w14:textId="44686765" w:rsidR="00164FEE" w:rsidRDefault="00164FEE" w:rsidP="00164FEE">
      <w:pPr>
        <w:pStyle w:val="SI-Titolo-11Level2"/>
      </w:pPr>
      <w:bookmarkStart w:id="8" w:name="_Toc244264393"/>
      <w:r w:rsidRPr="003B04C9">
        <w:t>Comune di Milano: approvate le nuove Linee guida per la realizzazione delle opere di urbanizzazione</w:t>
      </w:r>
      <w:r>
        <w:t xml:space="preserve"> </w:t>
      </w:r>
      <w:r w:rsidR="00A81310">
        <w:t>|</w:t>
      </w:r>
      <w:r>
        <w:t xml:space="preserve"> </w:t>
      </w:r>
      <w:r w:rsidRPr="00C341BA">
        <w:rPr>
          <w:i/>
          <w:iCs/>
        </w:rPr>
        <w:t>7 settembre 2026</w:t>
      </w:r>
      <w:bookmarkEnd w:id="8"/>
    </w:p>
    <w:p w14:paraId="31B298D2" w14:textId="77777777" w:rsidR="00164FEE" w:rsidRDefault="00164FEE" w:rsidP="00164FEE">
      <w:r>
        <w:t>Con Deliberazione della Giunta Comunale n. 1071 del 6 agosto 2026, il Comune di Milano ha approvato le nuove “</w:t>
      </w:r>
      <w:r w:rsidRPr="00243E49">
        <w:t>Linee guida per la realizzazione delle opere di urbanizzazione, dei servizi e delle attrezzature pubbliche e di interesse pubblico o generale nell’ambito dei procedimenti urbanistico-edilizi”, in</w:t>
      </w:r>
      <w:r>
        <w:t xml:space="preserve"> sostituzione delle precedenti Linee guida approvate con Deliberazione G.C. n. 1117/2013.</w:t>
      </w:r>
    </w:p>
    <w:p w14:paraId="2B9D8FF9" w14:textId="77777777" w:rsidR="00164FEE" w:rsidRDefault="00164FEE" w:rsidP="00164FEE">
      <w:r>
        <w:t>Le nuove Linee guida aggiornano la disciplina comunale alla luce del D.Lgs. n. 36/2023 (Codice dei Contratti Pubblici) e delle modifiche normative intervenute negli ultimi anni, con particolare riferimento alla progettazione e all’attuazione delle opere pubbliche nell’ambito dei procedimenti urbanistico-edilizi.</w:t>
      </w:r>
    </w:p>
    <w:p w14:paraId="56A91B92" w14:textId="77777777" w:rsidR="00164FEE" w:rsidRDefault="00164FEE" w:rsidP="00164FEE">
      <w:r>
        <w:t>Le nuove disposizioni si applicano ai procedimenti urbanistico-edilizi la cui convenzione, o atto assimilato, sia stipulata successivamente alla data di approvazione della Deliberazione; continuano invece ad applicarsi le precedenti Linee guida del 2013 alle opere disciplinate da convenzioni o atti assimilati già stipulati alla data di efficacia del provvedimento.</w:t>
      </w:r>
    </w:p>
    <w:p w14:paraId="3093A142" w14:textId="77777777" w:rsidR="00164FEE" w:rsidRDefault="00164FEE" w:rsidP="00164FEE">
      <w:r>
        <w:t xml:space="preserve">Per un esame di dettaglio della disciplina, la Deliberazione e le nuove Linee guida sono consultabili </w:t>
      </w:r>
      <w:hyperlink r:id="rId15" w:history="1">
        <w:r w:rsidRPr="005F70DA">
          <w:rPr>
            <w:rStyle w:val="Collegamentoipertestuale"/>
          </w:rPr>
          <w:t>qui</w:t>
        </w:r>
      </w:hyperlink>
      <w:r>
        <w:t>.</w:t>
      </w:r>
    </w:p>
    <w:p w14:paraId="39717F8F" w14:textId="3F83B4E5" w:rsidR="00164FEE" w:rsidRDefault="00164FEE" w:rsidP="00164FEE">
      <w:pPr>
        <w:pStyle w:val="SI-Titolo-11Level2"/>
      </w:pPr>
      <w:bookmarkStart w:id="9" w:name="_Toc244264394"/>
      <w:r w:rsidRPr="00011E40">
        <w:t>Roma Capitale approva la variante alle NTA del PRG</w:t>
      </w:r>
      <w:r>
        <w:t xml:space="preserve"> </w:t>
      </w:r>
      <w:r w:rsidR="00A81310">
        <w:t>|</w:t>
      </w:r>
      <w:r>
        <w:t xml:space="preserve"> </w:t>
      </w:r>
      <w:r w:rsidRPr="00C341BA">
        <w:rPr>
          <w:i/>
          <w:iCs/>
        </w:rPr>
        <w:t>10 agosto 2026</w:t>
      </w:r>
      <w:bookmarkEnd w:id="9"/>
    </w:p>
    <w:p w14:paraId="52376B9D" w14:textId="77777777" w:rsidR="00164FEE" w:rsidRDefault="00164FEE" w:rsidP="00164FEE">
      <w:r>
        <w:t>L’Assemblea Capitolina, con Deliberazione n. 122 del 23 luglio 2026, ha approvato in via definitiva la variante parziale alle Norme Tecniche di Attuazione del Piano Regolatore Generale, concludendo il procedimento avviato con l’adozione della Deliberazione n. 169/2024.</w:t>
      </w:r>
    </w:p>
    <w:p w14:paraId="332837A2" w14:textId="77777777" w:rsidR="00164FEE" w:rsidRDefault="00164FEE" w:rsidP="00164FEE">
      <w:r>
        <w:t>La deliberazione contiene le controdeduzioni alle osservazioni pervenute e recepisce le modifiche derivanti dalle osservazioni accolte (o parzialmente accolte) e dalle osservazioni d’ufficio.</w:t>
      </w:r>
    </w:p>
    <w:p w14:paraId="28EB1446" w14:textId="77777777" w:rsidR="00164FEE" w:rsidRDefault="00164FEE" w:rsidP="00164FEE">
      <w:r>
        <w:lastRenderedPageBreak/>
        <w:t>In allegato riportiamo il testo degli articoli modificati, che costituisce il riferimento operativo per l’analisi delle principali novità introdotte dalla riforma delle NTA del PRG di Roma.</w:t>
      </w:r>
    </w:p>
    <w:p w14:paraId="5D7593C6" w14:textId="77777777" w:rsidR="00164FEE" w:rsidRDefault="00164FEE" w:rsidP="00164FEE">
      <w:r>
        <w:t xml:space="preserve">Per visionare gli articoli modificati a seguito del recepimento delle osservazioni accolte o parzialmente accolte e delle osservazioni d’ufficio cliccare al seguente </w:t>
      </w:r>
      <w:hyperlink r:id="rId16" w:history="1">
        <w:r w:rsidRPr="008115B1">
          <w:rPr>
            <w:rStyle w:val="Collegamentoipertestuale"/>
          </w:rPr>
          <w:t>link</w:t>
        </w:r>
      </w:hyperlink>
      <w:r>
        <w:t>.</w:t>
      </w:r>
    </w:p>
    <w:p w14:paraId="32DAA9C1" w14:textId="63F59F86" w:rsidR="00164FEE" w:rsidRDefault="00164FEE" w:rsidP="00164FEE">
      <w:pPr>
        <w:pStyle w:val="SI-Titolo-11Level2"/>
      </w:pPr>
      <w:bookmarkStart w:id="10" w:name="_Toc244264395"/>
      <w:r w:rsidRPr="00BA249C">
        <w:t>Variante parziale al PGT di Milano – pubblicato il Rapporto Preliminare per la Verifica di assoggettabilità a VAS</w:t>
      </w:r>
      <w:r>
        <w:t xml:space="preserve"> </w:t>
      </w:r>
      <w:r w:rsidR="00A81310">
        <w:t>|</w:t>
      </w:r>
      <w:r>
        <w:t xml:space="preserve"> </w:t>
      </w:r>
      <w:r w:rsidRPr="00C341BA">
        <w:rPr>
          <w:i/>
          <w:iCs/>
        </w:rPr>
        <w:t>30 luglio 2026</w:t>
      </w:r>
      <w:bookmarkEnd w:id="10"/>
    </w:p>
    <w:p w14:paraId="09AF2F74" w14:textId="77777777" w:rsidR="00164FEE" w:rsidRDefault="00164FEE" w:rsidP="00164FEE">
      <w:r>
        <w:t>Nell’ambito di tale procedimento, il Comune di Milano ha pubblicato l’Avviso di messa a disposizione del Rapporto Preliminare. Secondo quanto indicato nell’avviso, il Rapporto Preliminare è messo a disposizione, ai fini della consultazione:</w:t>
      </w:r>
    </w:p>
    <w:p w14:paraId="20BC1C8E" w14:textId="77777777" w:rsidR="00164FEE" w:rsidRDefault="00164FEE" w:rsidP="00164FEE">
      <w:pPr>
        <w:pStyle w:val="Paragrafoelenco"/>
        <w:numPr>
          <w:ilvl w:val="0"/>
          <w:numId w:val="28"/>
        </w:numPr>
        <w:ind w:hanging="720"/>
      </w:pPr>
      <w:r>
        <w:t>tramite pubblicazione sul sito web regionale SIVAS;</w:t>
      </w:r>
    </w:p>
    <w:p w14:paraId="6BA03BE4" w14:textId="77777777" w:rsidR="00164FEE" w:rsidRDefault="00164FEE" w:rsidP="00164FEE">
      <w:pPr>
        <w:pStyle w:val="Paragrafoelenco"/>
        <w:numPr>
          <w:ilvl w:val="0"/>
          <w:numId w:val="28"/>
        </w:numPr>
        <w:ind w:hanging="720"/>
      </w:pPr>
      <w:r>
        <w:t>tramite pubblicazione sul sito web del Comune di Milano;</w:t>
      </w:r>
    </w:p>
    <w:p w14:paraId="7D267E87" w14:textId="77777777" w:rsidR="00164FEE" w:rsidRDefault="00164FEE" w:rsidP="00164FEE">
      <w:pPr>
        <w:pStyle w:val="Paragrafoelenco"/>
        <w:numPr>
          <w:ilvl w:val="0"/>
          <w:numId w:val="28"/>
        </w:numPr>
        <w:ind w:hanging="720"/>
      </w:pPr>
      <w:r>
        <w:t>in libera visione presso gli Uffici comunali, previo appuntamento.</w:t>
      </w:r>
    </w:p>
    <w:p w14:paraId="48D1060A" w14:textId="77777777" w:rsidR="00164FEE" w:rsidRDefault="00164FEE" w:rsidP="00164FEE">
      <w:r>
        <w:t>È possibile presentare eventuali contributi scritti entro l’11 settembre 2026.</w:t>
      </w:r>
    </w:p>
    <w:p w14:paraId="15E1975C" w14:textId="77777777" w:rsidR="00164FEE" w:rsidRDefault="00164FEE" w:rsidP="00164FEE">
      <w:r>
        <w:t>Si rimanda al capitolo 2 del Rapporto Preliminare per l’analisi degli interventi proposti, che si concentrano su modifiche puntuali alle Norme di Attuazione del Piano delle Regole e del Piano dei Servizi.</w:t>
      </w:r>
    </w:p>
    <w:p w14:paraId="0A786337" w14:textId="77777777" w:rsidR="00164FEE" w:rsidRDefault="00164FEE" w:rsidP="00164FEE">
      <w:r>
        <w:t xml:space="preserve">Facciamo seguito alla nostra precedente news dedicata all’approvazione, con Delibera di Giunta Comunale n. 1358 del 6 novembre 2025, degli indirizzi per l’avvio della variante parziale al Piano di Governo del Territorio (PGT) di Milano – con contestuale avvio del procedimento di Verifica di assoggettabilità alla Valutazione Ambientale Strategica (VAS) – consultabile a questo link: </w:t>
      </w:r>
      <w:hyperlink r:id="rId17" w:history="1">
        <w:r w:rsidRPr="0084516B">
          <w:rPr>
            <w:rStyle w:val="Collegamentoipertestuale"/>
          </w:rPr>
          <w:t>Nuovo PGT di Milano – approvati gli indirizzi per l’avvio della variante parziale – SI – Studio Inzaghi</w:t>
        </w:r>
      </w:hyperlink>
      <w:r>
        <w:t>.</w:t>
      </w:r>
    </w:p>
    <w:p w14:paraId="4782F0B3" w14:textId="77777777" w:rsidR="00164FEE" w:rsidRPr="00BA249C" w:rsidRDefault="00164FEE" w:rsidP="00164FEE">
      <w:r>
        <w:t xml:space="preserve">L’avviso pubblicato dal Comune è invece consultabile a questo link: </w:t>
      </w:r>
      <w:hyperlink r:id="rId18" w:history="1">
        <w:r w:rsidRPr="005E6111">
          <w:rPr>
            <w:rStyle w:val="Collegamentoipertestuale"/>
          </w:rPr>
          <w:t>Procedimento di Verifica di assoggettabilità a VAS per la proposta di parziale variante normativa delle Norme di Attuazione del Piano delle Regole e del Piano dei Servizi del vigente PGT. Comunicazione di messa a disposizione del Rapporto Preliminare</w:t>
        </w:r>
      </w:hyperlink>
      <w:r>
        <w:t>.</w:t>
      </w:r>
    </w:p>
    <w:p w14:paraId="49CC38D8" w14:textId="4CB38C78" w:rsidR="00164FEE" w:rsidRDefault="00164FEE" w:rsidP="00164FEE">
      <w:pPr>
        <w:pStyle w:val="SI-Titolo-11Level2"/>
      </w:pPr>
      <w:bookmarkStart w:id="11" w:name="_Toc244264396"/>
      <w:r w:rsidRPr="00CD1C31">
        <w:t>Roma: approvate le Norme Tecniche di Attuazione del Piano Regolatore Generale (PRG)</w:t>
      </w:r>
      <w:r>
        <w:t xml:space="preserve"> </w:t>
      </w:r>
      <w:r w:rsidR="00A81310">
        <w:t>|</w:t>
      </w:r>
      <w:r>
        <w:t xml:space="preserve"> </w:t>
      </w:r>
      <w:r w:rsidRPr="00C341BA">
        <w:rPr>
          <w:i/>
          <w:iCs/>
        </w:rPr>
        <w:t>28 luglio 2026</w:t>
      </w:r>
      <w:bookmarkEnd w:id="11"/>
    </w:p>
    <w:p w14:paraId="3AADA450" w14:textId="77777777" w:rsidR="00164FEE" w:rsidRDefault="00164FEE" w:rsidP="00164FEE">
      <w:r>
        <w:t>L’Assemblea Capitolina ha approvato le Norme Tecniche di Attuazione (NTA) del Piano Regolatore Generale. La delibera aggiorna 67 norme del PRG, intervenendo per la prima volta sulle NTA dalla loro approvazione nel 2008.</w:t>
      </w:r>
    </w:p>
    <w:p w14:paraId="328575D8" w14:textId="77777777" w:rsidR="00164FEE" w:rsidRDefault="00164FEE" w:rsidP="00164FEE">
      <w:r>
        <w:t>Le principali novità riguardano:</w:t>
      </w:r>
    </w:p>
    <w:p w14:paraId="45069EB5" w14:textId="77777777" w:rsidR="00164FEE" w:rsidRPr="00243E49" w:rsidRDefault="00164FEE" w:rsidP="00164FEE">
      <w:pPr>
        <w:pStyle w:val="Paragrafoelenco"/>
        <w:numPr>
          <w:ilvl w:val="0"/>
          <w:numId w:val="27"/>
        </w:numPr>
        <w:ind w:hanging="720"/>
      </w:pPr>
      <w:r w:rsidRPr="00243E49">
        <w:t>Semplificazione delle procedure urbanistiche, con l’obiettivo di ridurre i tempi di approvazione e realizzazione degli interventi.</w:t>
      </w:r>
    </w:p>
    <w:p w14:paraId="2A036B49" w14:textId="77777777" w:rsidR="00164FEE" w:rsidRPr="00243E49" w:rsidRDefault="00164FEE" w:rsidP="00164FEE">
      <w:pPr>
        <w:pStyle w:val="Paragrafoelenco"/>
        <w:numPr>
          <w:ilvl w:val="0"/>
          <w:numId w:val="27"/>
        </w:numPr>
        <w:ind w:hanging="720"/>
      </w:pPr>
      <w:r w:rsidRPr="00243E49">
        <w:lastRenderedPageBreak/>
        <w:t>Rigenerazione urbana e riqualificazione delle periferie, privilegiando il recupero del patrimonio edilizio esistente e limitando il consumo di nuovo suolo.</w:t>
      </w:r>
    </w:p>
    <w:p w14:paraId="603787B7" w14:textId="77777777" w:rsidR="00164FEE" w:rsidRPr="00243E49" w:rsidRDefault="00164FEE" w:rsidP="00164FEE">
      <w:pPr>
        <w:pStyle w:val="Paragrafoelenco"/>
        <w:numPr>
          <w:ilvl w:val="0"/>
          <w:numId w:val="27"/>
        </w:numPr>
        <w:ind w:hanging="720"/>
      </w:pPr>
      <w:r w:rsidRPr="00243E49">
        <w:t>Maggiore tutela del patrimonio storico, architettonico e ambientale, attraverso il rafforzamento delle disposizioni di salvaguardia.</w:t>
      </w:r>
    </w:p>
    <w:p w14:paraId="4D5E5A29" w14:textId="77777777" w:rsidR="00164FEE" w:rsidRPr="00243E49" w:rsidRDefault="00164FEE" w:rsidP="00164FEE">
      <w:pPr>
        <w:pStyle w:val="Paragrafoelenco"/>
        <w:numPr>
          <w:ilvl w:val="0"/>
          <w:numId w:val="27"/>
        </w:numPr>
        <w:ind w:hanging="720"/>
      </w:pPr>
      <w:r w:rsidRPr="00243E49">
        <w:t>Potenziamento della mobilità sostenibile, con un maggiore orientamento verso lo sviluppo del trasporto pubblico su ferro.</w:t>
      </w:r>
    </w:p>
    <w:p w14:paraId="37B5B934" w14:textId="77777777" w:rsidR="00164FEE" w:rsidRPr="00243E49" w:rsidRDefault="00164FEE" w:rsidP="00164FEE">
      <w:pPr>
        <w:pStyle w:val="Paragrafoelenco"/>
        <w:numPr>
          <w:ilvl w:val="0"/>
          <w:numId w:val="27"/>
        </w:numPr>
        <w:ind w:hanging="720"/>
      </w:pPr>
      <w:r w:rsidRPr="00243E49">
        <w:t>Tutela della funzione residenziale, mediante misure finalizzate a contenere gli effetti dell’iperturismo sul tessuto urbano.</w:t>
      </w:r>
    </w:p>
    <w:p w14:paraId="518EBF5B" w14:textId="77777777" w:rsidR="00164FEE" w:rsidRDefault="00164FEE" w:rsidP="00164FEE">
      <w:pPr>
        <w:pStyle w:val="Paragrafoelenco"/>
        <w:numPr>
          <w:ilvl w:val="0"/>
          <w:numId w:val="27"/>
        </w:numPr>
        <w:ind w:hanging="720"/>
      </w:pPr>
      <w:r w:rsidRPr="00243E49">
        <w:t>Salvaguardia dell’Agro Romano, co</w:t>
      </w:r>
      <w:r>
        <w:t>n una maggiore protezione delle aree agricole e di interesse paesaggistico.</w:t>
      </w:r>
    </w:p>
    <w:p w14:paraId="6C4FDA20" w14:textId="77777777" w:rsidR="00164FEE" w:rsidRDefault="00164FEE" w:rsidP="00164FEE">
      <w:r>
        <w:t>L’intervento normativo rappresenta un aggiornamento significativo della disciplina urbanistica comunale e mira a rendere più efficaci gli strumenti di pianificazione, coniugando esigenze di semplificazione amministrativa, tutela del territorio e sviluppo sostenibile.</w:t>
      </w:r>
    </w:p>
    <w:p w14:paraId="3BE04521" w14:textId="4779DC02" w:rsidR="00164FEE" w:rsidRPr="00A16EC7" w:rsidRDefault="00164FEE" w:rsidP="00164FEE">
      <w:pPr>
        <w:pStyle w:val="SI-Titolo-11Level2"/>
      </w:pPr>
      <w:bookmarkStart w:id="12" w:name="_Toc244264397"/>
      <w:r w:rsidRPr="00067625">
        <w:t>Comune di Milano: aggiornati gli indirizzi per la valutazione delle proposte di nuovi servizi privati di interesse pubblico o generale (cd. SPIG)</w:t>
      </w:r>
      <w:r>
        <w:t xml:space="preserve"> </w:t>
      </w:r>
      <w:r w:rsidR="00A81310">
        <w:t>|</w:t>
      </w:r>
      <w:r>
        <w:t xml:space="preserve"> </w:t>
      </w:r>
      <w:r w:rsidRPr="00C341BA">
        <w:rPr>
          <w:i/>
          <w:iCs/>
        </w:rPr>
        <w:t>20 luglio 2026</w:t>
      </w:r>
      <w:bookmarkEnd w:id="12"/>
    </w:p>
    <w:p w14:paraId="25C8E958" w14:textId="77777777" w:rsidR="00164FEE" w:rsidRDefault="00164FEE" w:rsidP="00164FEE">
      <w:r>
        <w:t>Con la Deliberazione di Giunta n. 932 del 9 luglio 2026, il Comune di Milano ha aggiornato gli indirizzi approvati con la precedente DGC n. 288 del 10 marzo 2023, in merito alla metodologia e procedura per la valutazione delle proposte di nuova realizzazione di servizi e attrezzature privati di uso pubblico o di interesse pubblico o generale (c.d. SPIG), ai sensi dell’art. 4 delle Norme di Attuazione del Piano dei Servizi del PGT.</w:t>
      </w:r>
    </w:p>
    <w:p w14:paraId="27AC8D18" w14:textId="77777777" w:rsidR="00164FEE" w:rsidRPr="00923D0E" w:rsidRDefault="00164FEE" w:rsidP="00164FEE">
      <w:pPr>
        <w:rPr>
          <w:u w:val="single"/>
        </w:rPr>
      </w:pPr>
      <w:r w:rsidRPr="00923D0E">
        <w:rPr>
          <w:u w:val="single"/>
        </w:rPr>
        <w:t>Servizi già accreditati o convenzionati da altri Enti Pubblici</w:t>
      </w:r>
    </w:p>
    <w:p w14:paraId="21AD8712" w14:textId="77777777" w:rsidR="00164FEE" w:rsidRDefault="00164FEE" w:rsidP="00164FEE">
      <w:r>
        <w:t>Nella prassi applicativa della precedente DGC 288/2023 era emersa la necessità di chiarire il regime applicabile ai servizi che avevano già ottenuto accreditamento o convenzionamento da Enti Pubblici diversi dal Comune. La sentenza TAR Lombardia n. 1456/2026 del 27 marzo 2026 ha inoltre evidenziato come non si possano richiedere ulteriori convenzionamenti in presenza di un accreditamento già emesso da altro Ente Pubblico competente, in applicazione del principio di sussidiarietà.</w:t>
      </w:r>
    </w:p>
    <w:p w14:paraId="19237D9B" w14:textId="77777777" w:rsidR="00164FEE" w:rsidRDefault="00164FEE" w:rsidP="00164FEE">
      <w:r>
        <w:t>Recependo tali esigenze, la DGC n. 932/2026 ha previsto che per tali servizi:</w:t>
      </w:r>
    </w:p>
    <w:p w14:paraId="01966267" w14:textId="77777777" w:rsidR="00164FEE" w:rsidRDefault="00164FEE" w:rsidP="00164FEE">
      <w:pPr>
        <w:pStyle w:val="Paragrafoelenco"/>
        <w:numPr>
          <w:ilvl w:val="0"/>
          <w:numId w:val="19"/>
        </w:numPr>
        <w:ind w:hanging="720"/>
      </w:pPr>
      <w:r>
        <w:t>non si applicano i criteri di valutazione di cui all’art. 4, comma 2 delle Norme di Attuazione del Piano dei Servizi;</w:t>
      </w:r>
    </w:p>
    <w:p w14:paraId="0149BAA6" w14:textId="77777777" w:rsidR="00164FEE" w:rsidRDefault="00164FEE" w:rsidP="00164FEE">
      <w:pPr>
        <w:pStyle w:val="Paragrafoelenco"/>
        <w:numPr>
          <w:ilvl w:val="0"/>
          <w:numId w:val="19"/>
        </w:numPr>
        <w:ind w:hanging="720"/>
      </w:pPr>
      <w:r>
        <w:t>sarà lo stesso Ente accreditante, su richiesta del Comune, a dichiarare che il servizio rispetta le condizioni dei propri accreditamenti/convenzionamenti e a esprimersi sulle prestazioni rese nell’interesse pubblico del servizio;</w:t>
      </w:r>
    </w:p>
    <w:p w14:paraId="048A32C0" w14:textId="77777777" w:rsidR="00164FEE" w:rsidRDefault="00164FEE" w:rsidP="00164FEE">
      <w:pPr>
        <w:pStyle w:val="Paragrafoelenco"/>
        <w:numPr>
          <w:ilvl w:val="0"/>
          <w:numId w:val="19"/>
        </w:numPr>
        <w:ind w:hanging="720"/>
      </w:pPr>
      <w:r>
        <w:t>il bilanciamento economico (lett. d, art. 4, comma 2) non è richiesto;</w:t>
      </w:r>
    </w:p>
    <w:p w14:paraId="44C99074" w14:textId="77777777" w:rsidR="00164FEE" w:rsidRDefault="00164FEE" w:rsidP="00164FEE">
      <w:pPr>
        <w:pStyle w:val="Paragrafoelenco"/>
        <w:numPr>
          <w:ilvl w:val="0"/>
          <w:numId w:val="19"/>
        </w:numPr>
        <w:ind w:hanging="720"/>
      </w:pPr>
      <w:r>
        <w:lastRenderedPageBreak/>
        <w:t>rimane in ogni caso obbligatorio l’assenso della Giunta Comunale, chiamata a confermare la rilevanza pubblica del servizio in relazione al contesto localizzativo e al piano/progetto presentato.</w:t>
      </w:r>
    </w:p>
    <w:p w14:paraId="03B79326" w14:textId="77777777" w:rsidR="00164FEE" w:rsidRPr="00923D0E" w:rsidRDefault="00164FEE" w:rsidP="00164FEE">
      <w:pPr>
        <w:rPr>
          <w:u w:val="single"/>
        </w:rPr>
      </w:pPr>
      <w:r w:rsidRPr="00923D0E">
        <w:rPr>
          <w:u w:val="single"/>
        </w:rPr>
        <w:t>Il Piano Economico-Finanziario (PEF)</w:t>
      </w:r>
    </w:p>
    <w:p w14:paraId="3494CD7B" w14:textId="77777777" w:rsidR="00164FEE" w:rsidRPr="00243E49" w:rsidRDefault="00164FEE" w:rsidP="00164FEE">
      <w:r w:rsidRPr="00243E49">
        <w:t>L’obbligo di presentazione del PEF scatta nei casi in cui il soggetto che realizza il servizio non coincida con il soggetto che lo gestirà. Ciò vale sia per i servizi accreditati/convenzionati da altri Enti Pubblici, sia per i servizi oggetto di procedure ad evidenza pubblica su aree comunali, ove il realizzatore che aliena o affitta il servizio non coincida con il gestore.</w:t>
      </w:r>
    </w:p>
    <w:p w14:paraId="4B9BB5C2" w14:textId="77777777" w:rsidR="00164FEE" w:rsidRPr="00243E49" w:rsidRDefault="00164FEE" w:rsidP="00164FEE">
      <w:r w:rsidRPr="00243E49">
        <w:t>In questi casi il PEF deve:</w:t>
      </w:r>
    </w:p>
    <w:p w14:paraId="2F98B7A8" w14:textId="77777777" w:rsidR="00164FEE" w:rsidRPr="00243E49" w:rsidRDefault="00164FEE" w:rsidP="00164FEE">
      <w:pPr>
        <w:pStyle w:val="Paragrafoelenco"/>
        <w:numPr>
          <w:ilvl w:val="0"/>
          <w:numId w:val="20"/>
        </w:numPr>
        <w:ind w:hanging="720"/>
      </w:pPr>
      <w:r w:rsidRPr="00243E49">
        <w:t>attestare l’equilibrio economico dell’operazione connessa alla localizzazione del servizio;</w:t>
      </w:r>
    </w:p>
    <w:p w14:paraId="10CA7C41" w14:textId="77777777" w:rsidR="00164FEE" w:rsidRPr="00243E49" w:rsidRDefault="00164FEE" w:rsidP="00164FEE">
      <w:pPr>
        <w:pStyle w:val="Paragrafoelenco"/>
        <w:numPr>
          <w:ilvl w:val="0"/>
          <w:numId w:val="20"/>
        </w:numPr>
        <w:ind w:hanging="720"/>
      </w:pPr>
      <w:r w:rsidRPr="00243E49">
        <w:t>dimostrare che il canone di locazione o il prezzo di alienazione sostenuto dal gestore copra i costi puri di realizzazione dell’opera, garantendo un’equa remunerazione del capitale investito;</w:t>
      </w:r>
    </w:p>
    <w:p w14:paraId="430D8362" w14:textId="77777777" w:rsidR="00164FEE" w:rsidRPr="00243E49" w:rsidRDefault="00164FEE" w:rsidP="00164FEE">
      <w:pPr>
        <w:pStyle w:val="Paragrafoelenco"/>
        <w:numPr>
          <w:ilvl w:val="0"/>
          <w:numId w:val="20"/>
        </w:numPr>
        <w:ind w:hanging="720"/>
      </w:pPr>
      <w:r w:rsidRPr="00243E49">
        <w:t>presentare indicatori di redditività coerenti con il prevalente carattere di interesse generale e sociale del servizio.</w:t>
      </w:r>
    </w:p>
    <w:p w14:paraId="78762229" w14:textId="77777777" w:rsidR="00164FEE" w:rsidRPr="00923D0E" w:rsidRDefault="00164FEE" w:rsidP="00164FEE">
      <w:pPr>
        <w:rPr>
          <w:u w:val="single"/>
        </w:rPr>
      </w:pPr>
      <w:r w:rsidRPr="00923D0E">
        <w:rPr>
          <w:u w:val="single"/>
        </w:rPr>
        <w:t>Le ipotesi di non applicazione del bilanciamento economico</w:t>
      </w:r>
    </w:p>
    <w:p w14:paraId="67097DBF" w14:textId="77777777" w:rsidR="00164FEE" w:rsidRDefault="00164FEE" w:rsidP="00164FEE">
      <w:r>
        <w:t>La DGC 932/2026 individua le seguenti casistiche in cui il bilanciamento economico tra benefici pubblici e privati (art. 4, comma 2, lett. d, NdA PdS) non si applica:</w:t>
      </w:r>
    </w:p>
    <w:p w14:paraId="7229F627" w14:textId="77777777" w:rsidR="00164FEE" w:rsidRPr="00243E49" w:rsidRDefault="00164FEE" w:rsidP="00164FEE">
      <w:pPr>
        <w:pStyle w:val="Paragrafoelenco"/>
        <w:numPr>
          <w:ilvl w:val="0"/>
          <w:numId w:val="21"/>
        </w:numPr>
        <w:ind w:hanging="720"/>
      </w:pPr>
      <w:r w:rsidRPr="00243E49">
        <w:t>Servizi a tariffe comunali</w:t>
      </w:r>
    </w:p>
    <w:p w14:paraId="4ED53A57" w14:textId="77777777" w:rsidR="00164FEE" w:rsidRPr="00243E49" w:rsidRDefault="00164FEE" w:rsidP="00164FEE">
      <w:r w:rsidRPr="00243E49">
        <w:t>Quando il servizio è garantito dal privato in forza di tariffe comunali e/o di quelle applicate dalle società partecipate o dagli organismi gestionali esterni che erogano servizi affidati dal Comune. In questi casi è richiesta la sola acquisizione del parere dell’Area competente, fatta salva la necessaria espressione della Giunta sulla localizzazione del servizio.</w:t>
      </w:r>
    </w:p>
    <w:p w14:paraId="652C0554" w14:textId="77777777" w:rsidR="00164FEE" w:rsidRPr="00243E49" w:rsidRDefault="00164FEE" w:rsidP="00164FEE">
      <w:pPr>
        <w:pStyle w:val="Paragrafoelenco"/>
        <w:numPr>
          <w:ilvl w:val="0"/>
          <w:numId w:val="21"/>
        </w:numPr>
        <w:ind w:hanging="720"/>
      </w:pPr>
      <w:r w:rsidRPr="00243E49">
        <w:t>Servizi previsti in procedure ad evidenza pubblica</w:t>
      </w:r>
    </w:p>
    <w:p w14:paraId="64D54CAB" w14:textId="77777777" w:rsidR="00164FEE" w:rsidRPr="00243E49" w:rsidRDefault="00164FEE" w:rsidP="00164FEE">
      <w:pPr>
        <w:pStyle w:val="Paragrafoelenco"/>
        <w:numPr>
          <w:ilvl w:val="0"/>
          <w:numId w:val="0"/>
        </w:numPr>
        <w:ind w:left="720"/>
      </w:pPr>
      <w:r w:rsidRPr="00243E49">
        <w:t>Quando le caratteristiche dello SPIG sono già indicate negli atti delle procedure ad evidenza pubblica per l’alienazione, la concessione o la concessione in diritto di superficie di aree o beni comunali, il bilanciamento economico non si applica (con obbligo di PEF se il realizzatore non coincide con il gestore).</w:t>
      </w:r>
    </w:p>
    <w:p w14:paraId="65EB1E33" w14:textId="77777777" w:rsidR="00164FEE" w:rsidRPr="00243E49" w:rsidRDefault="00164FEE" w:rsidP="00164FEE">
      <w:pPr>
        <w:pStyle w:val="Paragrafoelenco"/>
        <w:numPr>
          <w:ilvl w:val="0"/>
          <w:numId w:val="21"/>
        </w:numPr>
        <w:ind w:hanging="720"/>
      </w:pPr>
      <w:r w:rsidRPr="00243E49">
        <w:t>Ampliamenti fino al 10% della superficie complessiva</w:t>
      </w:r>
    </w:p>
    <w:p w14:paraId="07F281D1" w14:textId="77777777" w:rsidR="00164FEE" w:rsidRPr="00243E49" w:rsidRDefault="00164FEE" w:rsidP="00164FEE">
      <w:pPr>
        <w:pStyle w:val="Paragrafoelenco"/>
        <w:numPr>
          <w:ilvl w:val="0"/>
          <w:numId w:val="0"/>
        </w:numPr>
        <w:ind w:left="720"/>
      </w:pPr>
      <w:r w:rsidRPr="00243E49">
        <w:t>Per gli interventi che prevedono un ampliamento contenuto entro il 10% della superficie complessiva dei servizi esistenti.</w:t>
      </w:r>
    </w:p>
    <w:p w14:paraId="7D6AE8FE" w14:textId="77777777" w:rsidR="00164FEE" w:rsidRPr="00243E49" w:rsidRDefault="00164FEE" w:rsidP="00164FEE">
      <w:pPr>
        <w:pStyle w:val="Paragrafoelenco"/>
        <w:numPr>
          <w:ilvl w:val="0"/>
          <w:numId w:val="21"/>
        </w:numPr>
        <w:ind w:hanging="720"/>
      </w:pPr>
      <w:r w:rsidRPr="00243E49">
        <w:t>Servizi di rilevanza storico-culturale e identitaria</w:t>
      </w:r>
    </w:p>
    <w:p w14:paraId="09794FB6" w14:textId="77777777" w:rsidR="00164FEE" w:rsidRDefault="00164FEE" w:rsidP="00164FEE">
      <w:pPr>
        <w:pStyle w:val="Paragrafoelenco"/>
        <w:numPr>
          <w:ilvl w:val="0"/>
          <w:numId w:val="0"/>
        </w:numPr>
        <w:ind w:left="720"/>
      </w:pPr>
      <w:r>
        <w:t xml:space="preserve">Per i servizi che la Giunta Comunale individua per ragioni connesse alla loro rilevanza storico-culturale, al valore identitario e al consolidato radicamento nel tessuto socio-economico e urbano della Città di Milano, quali servizi da mantenere sul territorio senza </w:t>
      </w:r>
      <w:r>
        <w:lastRenderedPageBreak/>
        <w:t>concorrere al computo della SL. In questo caso sarà la delibera a definire le motivazioni, tenendo conto della normativa sul divieto degli aiuti di Stato.</w:t>
      </w:r>
    </w:p>
    <w:p w14:paraId="0DF3C147" w14:textId="596FA9A8" w:rsidR="00164FEE" w:rsidRDefault="00164FEE" w:rsidP="00164FEE">
      <w:r>
        <w:t xml:space="preserve">Per un approfondimento di dettaglio della disciplina si rinvia al testo integrale della Deliberazione e della Relazione tecnico-istruttoria, consultabili al seguente link: </w:t>
      </w:r>
      <w:hyperlink r:id="rId19" w:history="1">
        <w:r w:rsidR="002016CA">
          <w:rPr>
            <w:rStyle w:val="Collegamentoipertestuale"/>
          </w:rPr>
          <w:t>39977923-0182-afea-705e-4481de1326c5</w:t>
        </w:r>
      </w:hyperlink>
      <w:r w:rsidR="002016CA">
        <w:t>.</w:t>
      </w:r>
    </w:p>
    <w:p w14:paraId="3367E519" w14:textId="1E2E04C3" w:rsidR="00923D0E" w:rsidRPr="00A16EC7" w:rsidRDefault="00923D0E" w:rsidP="00923D0E">
      <w:pPr>
        <w:pStyle w:val="SI-Titolo-11Level2"/>
      </w:pPr>
      <w:bookmarkStart w:id="13" w:name="_Toc244264398"/>
      <w:r w:rsidRPr="009C26B5">
        <w:t>Il caso “Torre Milano”: Guido Alberto Inzaghi commenta la sentenza del Tribunale penale su InGENIO</w:t>
      </w:r>
      <w:r>
        <w:t xml:space="preserve"> </w:t>
      </w:r>
      <w:r w:rsidR="00A81310">
        <w:t>|</w:t>
      </w:r>
      <w:r>
        <w:t xml:space="preserve"> </w:t>
      </w:r>
      <w:r w:rsidRPr="00C341BA">
        <w:rPr>
          <w:i/>
          <w:iCs/>
        </w:rPr>
        <w:t>16 luglio 2026</w:t>
      </w:r>
      <w:bookmarkEnd w:id="13"/>
    </w:p>
    <w:p w14:paraId="33CCC859" w14:textId="77777777" w:rsidR="00923D0E" w:rsidRDefault="00923D0E" w:rsidP="00923D0E">
      <w:r>
        <w:t xml:space="preserve">Il nostro </w:t>
      </w:r>
      <w:r w:rsidRPr="00923D0E">
        <w:rPr>
          <w:i/>
          <w:iCs/>
        </w:rPr>
        <w:t>Managing Partner</w:t>
      </w:r>
      <w:r w:rsidRPr="00243E49">
        <w:t>, Guido Alberto Inzaghi, commenta su Ingenio la sentenza del Tribunale penale di Milano sul caso “Torre Milano”, che ha assolto gli otto funzionari comunali coinvolti nel procedimento relativo alla realizzazione</w:t>
      </w:r>
      <w:r>
        <w:t xml:space="preserve"> della torre mediante SCIA.</w:t>
      </w:r>
    </w:p>
    <w:p w14:paraId="522ED71F" w14:textId="77777777" w:rsidR="00923D0E" w:rsidRDefault="00923D0E" w:rsidP="00923D0E">
      <w:r>
        <w:t>Pur ritenendo che l’intervento avrebbe dovuto essere qualificato come nuova costruzione, con conseguente necessità di un titolo edilizio diverso dalla SCIA e la preventiva approvazione di un piano attuativo (in quanto l’edificio è più alto di 25 m e più denso di 3 mc/mq), il Tribunale ha escluso la responsabilità penale degli imputati, riconoscendo la buona fede dei funzionari alla luce dell’incertezza del quadro normativo.</w:t>
      </w:r>
    </w:p>
    <w:p w14:paraId="69FFA377" w14:textId="77777777" w:rsidR="00923D0E" w:rsidRDefault="00923D0E" w:rsidP="00923D0E">
      <w:r>
        <w:t>Si tratta di una conclusione che si pone in contrasto con l’ultima sentenza del Consiglio di Stato di fine maggio, che aveva invece qualificato interventi di questo tipo come ristrutturazione edilizia.</w:t>
      </w:r>
    </w:p>
    <w:p w14:paraId="0F2EF8F4" w14:textId="77777777" w:rsidR="00923D0E" w:rsidRDefault="00923D0E" w:rsidP="00923D0E">
      <w:r>
        <w:t>Secondo Inzaghi, proprio questo rappresenta il profilo di maggiore interesse e criticità della pronuncia: essa conferma come il confine tra ristrutturazione edilizia e nuova costruzione sia tuttora caratterizzato da significative incertezze interpretative.</w:t>
      </w:r>
    </w:p>
    <w:p w14:paraId="181171A0" w14:textId="77777777" w:rsidR="00923D0E" w:rsidRDefault="00923D0E" w:rsidP="00923D0E">
      <w:r>
        <w:t>Negli ultimi orientamenti della giurisprudenza penale, infatti, numerosi interventi di demolizione e ricostruzione, anche in presenza di difformità soltanto marginali rispetto al manufatto preesistente, tendono ad essere ricondotti alla categoria della nuova costruzione.</w:t>
      </w:r>
    </w:p>
    <w:p w14:paraId="7040B773" w14:textId="77777777" w:rsidR="00923D0E" w:rsidRDefault="00923D0E" w:rsidP="00923D0E">
      <w:r>
        <w:t>Questa interpretazione, osserva Inzaghi, rischia di incidere negativamente sui processi di rigenerazione urbana, poiché la qualificazione dell’intervento come nuova costruzione comporta l’assoggettamento a un iter autorizzativo più complesso, fondato sul rilascio del permesso di costruire e, nei casi previsti, sulla preventiva approvazione di un piano attuativo, con inevitabili ricadute sui tempi di realizzazione e sui costi delle operazioni.</w:t>
      </w:r>
    </w:p>
    <w:p w14:paraId="7DCABD0C" w14:textId="77777777" w:rsidR="00923D0E" w:rsidRDefault="00923D0E" w:rsidP="00923D0E">
      <w:r>
        <w:t>Per questo, Inzaghi evidenzia la necessità di completare la riforma del Testo Unico dell’Edilizia o, quantomeno, di rendere più efficiente la disciplina urbanistica e i procedimenti amministrativi.</w:t>
      </w:r>
    </w:p>
    <w:p w14:paraId="65C36261" w14:textId="77777777" w:rsidR="00923D0E" w:rsidRPr="00A16EC7" w:rsidRDefault="00923D0E" w:rsidP="00923D0E">
      <w:r>
        <w:t>Solo un quadro normativo chiaro, regole interpretative prevedibili e tempi autorizzativi certi possono garantire la competitività del mercato immobiliare e sostenere la rigenerazione urbana di Milano.</w:t>
      </w:r>
    </w:p>
    <w:p w14:paraId="721F87F3" w14:textId="5B9E7C02" w:rsidR="00923D0E" w:rsidRPr="00A16EC7" w:rsidRDefault="00923D0E" w:rsidP="00923D0E">
      <w:pPr>
        <w:pStyle w:val="SI-Titolo-11Level2"/>
      </w:pPr>
      <w:bookmarkStart w:id="14" w:name="_Toc244264399"/>
      <w:r w:rsidRPr="00513D6E">
        <w:lastRenderedPageBreak/>
        <w:t>PRG Roma: la Regione sospende il procedimento di approvazione</w:t>
      </w:r>
      <w:r>
        <w:t xml:space="preserve"> </w:t>
      </w:r>
      <w:r w:rsidR="00A81310">
        <w:t>|</w:t>
      </w:r>
      <w:r>
        <w:t xml:space="preserve"> </w:t>
      </w:r>
      <w:r w:rsidRPr="00C341BA">
        <w:rPr>
          <w:i/>
          <w:iCs/>
        </w:rPr>
        <w:t>16 luglio 2026</w:t>
      </w:r>
      <w:bookmarkEnd w:id="14"/>
    </w:p>
    <w:p w14:paraId="3EAF67B1" w14:textId="77777777" w:rsidR="00923D0E" w:rsidRDefault="00923D0E" w:rsidP="00923D0E">
      <w:r>
        <w:t>La Regione Lazio è intervenuta nel procedimento di approvazione della variante alle Norme Tecniche di Attuazione del PRG di Roma Capitale, chiedendo la sospensione dell’iter e una nuova verifica ai sensi dell’art. 9, comma 63, della L.R. n. 19/2022.</w:t>
      </w:r>
    </w:p>
    <w:p w14:paraId="6A29D939" w14:textId="77777777" w:rsidR="00923D0E" w:rsidRDefault="00923D0E" w:rsidP="00923D0E">
      <w:r>
        <w:t>La richiesta si fonda sul rilievo che il testo risultante dalle controdeduzioni presenta modifiche ampie rispetto a quello adottato, tali da richiedere una nuova valutazione circa il possibile superamento del perimetro delle varianti che non incidono sulle caratteristiche essenziali dello strumento urbanistico generale.</w:t>
      </w:r>
    </w:p>
    <w:p w14:paraId="627F5D6F" w14:textId="77777777" w:rsidR="00923D0E" w:rsidRDefault="00923D0E" w:rsidP="00923D0E">
      <w:r>
        <w:t>Nell’ambito della medesima verifica, la Regione valuterà anche l’eventuale necessità di procedere alla ripubblicazione della variante e alla riapertura dei termini per la presentazione delle osservazioni.</w:t>
      </w:r>
    </w:p>
    <w:p w14:paraId="4B306395" w14:textId="77777777" w:rsidR="00923D0E" w:rsidRDefault="00923D0E" w:rsidP="00923D0E">
      <w:r>
        <w:t>La vicenda richiama l’attenzione sull’importanza del controllo regionale nelle procedure di pianificazione urbanistica e sui limiti entro cui le modifiche introdotte in sede di controdeduzione possono essere considerate compatibili con il procedimento già avviato, senza rendere necessario il rinnovo di specifici passaggi procedimentali.</w:t>
      </w:r>
    </w:p>
    <w:p w14:paraId="1A69396D" w14:textId="77777777" w:rsidR="00923D0E" w:rsidRDefault="00923D0E" w:rsidP="00923D0E">
      <w:r>
        <w:t>Alla luce di questo sviluppo, è da escludere che l’approvazione definitiva della variante possa intervenire, come previsto, prima della pausa estiva.</w:t>
      </w:r>
    </w:p>
    <w:p w14:paraId="51CCCC75" w14:textId="77777777" w:rsidR="00923D0E" w:rsidRDefault="00923D0E" w:rsidP="00923D0E">
      <w:r>
        <w:t xml:space="preserve">Per visionare la nota che la Regione ha trasmesso al Comune cliccare </w:t>
      </w:r>
      <w:hyperlink r:id="rId20" w:history="1">
        <w:r w:rsidRPr="00026D4D">
          <w:rPr>
            <w:rStyle w:val="Collegamentoipertestuale"/>
          </w:rPr>
          <w:t>qui</w:t>
        </w:r>
      </w:hyperlink>
      <w:r>
        <w:t>.</w:t>
      </w:r>
    </w:p>
    <w:p w14:paraId="016B8A33" w14:textId="58632C85" w:rsidR="00164FEE" w:rsidRPr="00A16EC7" w:rsidRDefault="00164FEE" w:rsidP="00164FEE">
      <w:pPr>
        <w:pStyle w:val="SI-Titolo-11Level2"/>
      </w:pPr>
      <w:bookmarkStart w:id="15" w:name="_Toc244264400"/>
      <w:r w:rsidRPr="000D5410">
        <w:t>TAR Lombardia-Milano, sentenza del 1° luglio 2026, n. 3495</w:t>
      </w:r>
      <w:r>
        <w:t xml:space="preserve"> </w:t>
      </w:r>
      <w:r w:rsidR="00A81310">
        <w:t>|</w:t>
      </w:r>
      <w:r>
        <w:t xml:space="preserve"> </w:t>
      </w:r>
      <w:r w:rsidRPr="005F1239">
        <w:rPr>
          <w:i/>
          <w:iCs/>
        </w:rPr>
        <w:t>8 luglio 2026</w:t>
      </w:r>
      <w:bookmarkEnd w:id="15"/>
    </w:p>
    <w:p w14:paraId="15A183AC" w14:textId="77777777" w:rsidR="00164FEE" w:rsidRDefault="00164FEE" w:rsidP="00164FEE">
      <w:r w:rsidRPr="005F1239">
        <w:t>Con la sentenza n. 3495/2026,</w:t>
      </w:r>
      <w:r>
        <w:t xml:space="preserve"> resa in un giudizio seguito dallo Studio, il TAR Lombardia – Milano si sofferma su due temi centrali dell’urbanistica milanese: i) il confine tra ristrutturazione edilizia e nuova costruzione e ii) la definizione dei presupposti per il previo ricorso alla pianificazione attuativa, alla luce delle Linee di indirizzo approvate dal Comune di Milano con la Deliberazione di Giunta n. 552/2025 e la Determinazione Dirigenziale n. 4192/2025.</w:t>
      </w:r>
    </w:p>
    <w:p w14:paraId="7045195A" w14:textId="77777777" w:rsidR="00164FEE" w:rsidRPr="00923D0E" w:rsidRDefault="00164FEE" w:rsidP="00164FEE">
      <w:pPr>
        <w:rPr>
          <w:u w:val="single"/>
        </w:rPr>
      </w:pPr>
      <w:r w:rsidRPr="00923D0E">
        <w:rPr>
          <w:u w:val="single"/>
        </w:rPr>
        <w:t>Il caso</w:t>
      </w:r>
    </w:p>
    <w:p w14:paraId="25EA7C0F" w14:textId="77777777" w:rsidR="00164FEE" w:rsidRDefault="00164FEE" w:rsidP="00164FEE">
      <w:r>
        <w:t>Il caso sottoposto al TAR per la Lombardia – Milano trae origine dal diniego opposto dal Comune a un’istanza di permesso di costruire presentata per la riqualificazione di un immobile, a destinazione direzionale, ubicato nel centro storico di Milano – NAF.</w:t>
      </w:r>
    </w:p>
    <w:p w14:paraId="2FA60BF7" w14:textId="77777777" w:rsidR="00164FEE" w:rsidRDefault="00164FEE" w:rsidP="00164FEE">
      <w:r>
        <w:t>La ricorrente ha qualificato l’intervento come ristrutturazione edilizia ai sensi dell’art. 3, comma 1, lett. d), del D.P.R. n. 380/2001, sostenendo che, pur prevedendo opere di adeguamento energetico, sismico e strutturale, una limitata redistribuzione delle volumetrie esistenti, con circoscritte traslazioni fuori sagoma, il restauro conservativo delle facciate, la riqualificazione degli spazi esterni e un parziale cambio di destinazione d’uso da direzionale a commerciale, il progetto conservasse l’originario assetto architettonico e planivolumetrico dell’edificio.</w:t>
      </w:r>
    </w:p>
    <w:p w14:paraId="1025C545" w14:textId="77777777" w:rsidR="00164FEE" w:rsidRDefault="00164FEE" w:rsidP="00164FEE">
      <w:r>
        <w:lastRenderedPageBreak/>
        <w:t>Il Comune ha invece ritenuto che l’intervento, comportando anche opere di demolizione e ricostruzione, integrasse una nuova costruzione e che, in ragione dell’indice superiore a 3 mc/mq e del discostamento dalle norme morfologiche, fosse necessario il previo ricorso alla pianificazione attuativa.</w:t>
      </w:r>
    </w:p>
    <w:p w14:paraId="09B6412D" w14:textId="5856BAA5" w:rsidR="009367AF" w:rsidRDefault="00164FEE" w:rsidP="00164FEE">
      <w:r>
        <w:t>La ricorrente ha quindi impugnato il diniego innanzi al TAR per la Lombardia, che ha accolto il ricorso per le ragioni illustrate di seguito.</w:t>
      </w:r>
    </w:p>
    <w:p w14:paraId="6AC9E182" w14:textId="77777777" w:rsidR="00164FEE" w:rsidRPr="00923D0E" w:rsidRDefault="00164FEE" w:rsidP="00164FEE">
      <w:pPr>
        <w:rPr>
          <w:u w:val="single"/>
        </w:rPr>
      </w:pPr>
      <w:r w:rsidRPr="00923D0E">
        <w:rPr>
          <w:u w:val="single"/>
        </w:rPr>
        <w:t>Cosa afferma il TAR</w:t>
      </w:r>
    </w:p>
    <w:p w14:paraId="5DDD2B64" w14:textId="77777777" w:rsidR="00164FEE" w:rsidRPr="005F1239" w:rsidRDefault="00164FEE" w:rsidP="00164FEE">
      <w:r w:rsidRPr="005F1239">
        <w:t>a) Sulla qualificazione dell’intervento: ristrutturazione edilizia e non nuova costruzione</w:t>
      </w:r>
    </w:p>
    <w:p w14:paraId="08D67C37" w14:textId="77777777" w:rsidR="00164FEE" w:rsidRDefault="00164FEE" w:rsidP="00164FEE">
      <w:r>
        <w:t>Il TAR esclude che l’intervento possa essere qualificato come nuova costruzione, rilevando che le opere di demolizione e ricostruzione fuori sagoma interessano solo una porzione limitata dell’edificio, mentre l’intervento, da valutare nel suo complesso e non in modo atomistico, consiste prevalentemente in opere di riorganizzazione funzionale, adeguamento strutturale e miglioramento prestazionale dell’immobile esistente, senza variazioni della volumetria complessiva, del sedime e dell’altezza massima dell’edificio preesistente.</w:t>
      </w:r>
    </w:p>
    <w:p w14:paraId="2767F823" w14:textId="77777777" w:rsidR="00164FEE" w:rsidRDefault="00164FEE" w:rsidP="00164FEE">
      <w:r>
        <w:t>La corrispondenza, seppure non perfetta, tra l’edificio progettato e quello preesistente è ritenuta sufficiente a escludere una trasformazione sostanziale del territorio idonea a qualificare l’intervento come nuova costruzione.</w:t>
      </w:r>
    </w:p>
    <w:p w14:paraId="5AA72C5B" w14:textId="77777777" w:rsidR="00164FEE" w:rsidRPr="005F1239" w:rsidRDefault="00164FEE" w:rsidP="00164FEE">
      <w:r>
        <w:t>Richiamando l’indirizzo inaugurato dal Consiglio di Stato (sentenza del 4 novembre 2025, n. 8542), il TAR ribadisce che la ristrutturazione edilizia può sussistere anche “</w:t>
      </w:r>
      <w:r w:rsidRPr="005F1239">
        <w:t>in assenza di</w:t>
      </w:r>
      <w:r w:rsidRPr="00922C84">
        <w:rPr>
          <w:b/>
          <w:bCs/>
        </w:rPr>
        <w:t xml:space="preserve"> </w:t>
      </w:r>
      <w:r w:rsidRPr="005F1239">
        <w:t>perfetta continuità tra il nuovo edificio e quello preesistente”, purché siano rispettati “i requisiti dell’unicità dell’immobile, della contestualità tra demolizione e ricostruzione e del mero utilizzo della volumetria preesistente, senza ulteriori trasformazioni della morfologia del territorio”.</w:t>
      </w:r>
    </w:p>
    <w:p w14:paraId="5A5D9080" w14:textId="77777777" w:rsidR="00164FEE" w:rsidRPr="005F1239" w:rsidRDefault="00164FEE" w:rsidP="00164FEE">
      <w:r w:rsidRPr="005F1239">
        <w:t>b) Immobili in zona A e centri storici: rilievo della clausola di salvezza</w:t>
      </w:r>
    </w:p>
    <w:p w14:paraId="527D587D" w14:textId="77777777" w:rsidR="00164FEE" w:rsidRPr="005F1239" w:rsidRDefault="00164FEE" w:rsidP="00164FEE">
      <w:r w:rsidRPr="005F1239">
        <w:t>Il TAR affronta anche il limite previsto dall’art. 3, comma 1, lett. d), del D.P.R. n. 380/2001 per gli immobili situati in zona A e nei centri storici, secondo cui gli interventi di demolizione e ricostruzione possono essere qualificati come ristrutturazione edilizia solo ove siano mantenuti sagoma, prospetti, sedime e caratteristiche planivolumetriche e tipologiche dell’edificio preesistente, senza incrementi di volumetria (c.d. “demo-ricostruzione fedele”).</w:t>
      </w:r>
    </w:p>
    <w:p w14:paraId="2DB89305" w14:textId="77777777" w:rsidR="00164FEE" w:rsidRDefault="00164FEE" w:rsidP="00164FEE">
      <w:r>
        <w:t>Secondo il TAR, questo limite non è tuttavia assoluto, poiché la stessa disposizione contiene una clausola di salvezza che consente di derogare alla regola della demo-ricostruzione fedele quando ciò sia previsto dalla legge o dagli strumenti urbanistici.</w:t>
      </w:r>
    </w:p>
    <w:p w14:paraId="1CECF7F7" w14:textId="77777777" w:rsidR="00164FEE" w:rsidRPr="00243E49" w:rsidRDefault="00164FEE" w:rsidP="00164FEE">
      <w:r>
        <w:t>Nel caso di specie, l’immobile ricade nei Nuclei di Antica Formazione (NAF) disciplinati dagli artt. 18 e 19 delle Norme di Attuazione del Piano delle Regole del PGT di Milano, che, con riguardo agli “</w:t>
      </w:r>
      <w:r w:rsidRPr="00243E49">
        <w:t>immobili con valore estetico-culturale-ambientale” (art. 18, comma 2, lett. d), ammettono interventi edilizi sino “alla ristrutturazione edilizia, … con mantenimento della sagoma, del sedime e della facciata prospettante lo spazio pubblico”, ma con possibilità di procedere con una “diversa tipologia di intervento”, previo positivo parere della Commissione per il Paesaggio.</w:t>
      </w:r>
    </w:p>
    <w:p w14:paraId="49F18DB4" w14:textId="77777777" w:rsidR="00164FEE" w:rsidRPr="00243E49" w:rsidRDefault="00164FEE" w:rsidP="00164FEE">
      <w:r w:rsidRPr="00243E49">
        <w:t xml:space="preserve">La clausola di salvezza di cui all’art. 3, comma 1, lett. d), del D.P.R. n. 380/2001 consente quindi di valorizzare la disciplina urbanistica locale e di ricondurre comunque l’intervento alla categoria </w:t>
      </w:r>
      <w:r w:rsidRPr="00243E49">
        <w:lastRenderedPageBreak/>
        <w:t>della ristrutturazione edilizia, anche in assenza di una perfetta conservazione di tutti gli elementi dell’edificio originario.</w:t>
      </w:r>
    </w:p>
    <w:p w14:paraId="52D61D76" w14:textId="77777777" w:rsidR="00164FEE" w:rsidRPr="00243E49" w:rsidRDefault="00164FEE" w:rsidP="00164FEE">
      <w:r w:rsidRPr="00243E49">
        <w:t>c) Inapplicabilità delle Linee di indirizzo sul piano attuativo</w:t>
      </w:r>
    </w:p>
    <w:p w14:paraId="7B35275B" w14:textId="77777777" w:rsidR="00164FEE" w:rsidRDefault="00164FEE" w:rsidP="00164FEE">
      <w:r>
        <w:t>Poiché l’intervento è qualificabile come ristrutturazione edilizia e non come nuova costruzione, il TAR esclude l’applicabilità delle Linee di indirizzo approvate dal Comune di Milano con la Deliberazione di Giunta n. 552/2025 e la Determinazione Dirigenziale n. 4192/2025, nella parte in cui subordinano il rilascio del titolo edilizio alla preventiva approvazione di un piano attuativo.</w:t>
      </w:r>
    </w:p>
    <w:p w14:paraId="4133D90D" w14:textId="77777777" w:rsidR="00164FEE" w:rsidRDefault="00164FEE" w:rsidP="00164FEE">
      <w:r>
        <w:t>Il Collegio ricorda che l’obbligo di ricorrere alla pianificazione attuativa previsto dalle Linee di Indirizzo riguarda esclusivamente gli interventi di nuova costruzione che superino determinate soglie dimensionali (altezza superiore ai 25 metri o densità fondiaria di 3 mc/mq) in zone non adeguatamente urbanizzate o che comportino il discostamento dalle norme morfologiche del PGT.</w:t>
      </w:r>
    </w:p>
    <w:p w14:paraId="7D1A9F76" w14:textId="77777777" w:rsidR="00164FEE" w:rsidRDefault="00164FEE" w:rsidP="00164FEE">
      <w:r>
        <w:t>Gli interventi qualificabili come ristrutturazione edilizia restano, invece, estranei all’ambito applicativo di tali previsioni e sono assoggettati alla disciplina ordinaria del PGT, con conseguente illegittimità del diniego nella parte in cui subordinava il rilascio del titolo edilizio alla preventiva approvazione di un piano attuativo.</w:t>
      </w:r>
    </w:p>
    <w:p w14:paraId="0164669C" w14:textId="77777777" w:rsidR="00164FEE" w:rsidRDefault="00164FEE" w:rsidP="00164FEE">
      <w:r>
        <w:t xml:space="preserve">Per visionare il testo completo della sentenza cliccare </w:t>
      </w:r>
      <w:hyperlink r:id="rId21" w:history="1">
        <w:r w:rsidRPr="00DD315F">
          <w:rPr>
            <w:rStyle w:val="Collegamentoipertestuale"/>
          </w:rPr>
          <w:t>qui</w:t>
        </w:r>
      </w:hyperlink>
      <w:r>
        <w:t>.</w:t>
      </w:r>
    </w:p>
    <w:p w14:paraId="087D35A3" w14:textId="44024FD8" w:rsidR="00166412" w:rsidRPr="00A16EC7" w:rsidRDefault="00825477" w:rsidP="00372B27">
      <w:pPr>
        <w:pStyle w:val="SI-Titolo-11Level2"/>
      </w:pPr>
      <w:bookmarkStart w:id="16" w:name="_Toc244264401"/>
      <w:r w:rsidRPr="00825477">
        <w:t>Regione Lombardia approva la nuova disciplina in materia di Valutazione di Impatto Ambientale (VIA)</w:t>
      </w:r>
      <w:r w:rsidR="00FE256C">
        <w:t xml:space="preserve"> </w:t>
      </w:r>
      <w:r w:rsidR="00A81310">
        <w:t>|</w:t>
      </w:r>
      <w:r w:rsidR="00FE256C">
        <w:t xml:space="preserve"> </w:t>
      </w:r>
      <w:r w:rsidR="00FE256C" w:rsidRPr="00C341BA">
        <w:rPr>
          <w:i/>
          <w:iCs/>
        </w:rPr>
        <w:t>3 luglio 2026</w:t>
      </w:r>
      <w:bookmarkEnd w:id="16"/>
    </w:p>
    <w:p w14:paraId="00FE250E" w14:textId="10D5A3FD" w:rsidR="00FE256C" w:rsidRDefault="00FE256C" w:rsidP="00FE256C">
      <w:r>
        <w:t>Il Consiglio regionale della Lombardia ha approvato la nuova legge che aggiorna la disciplina regionale in materia di Valutazione di Impatto Ambientale (VIA), con l’obiettivo di rendere più chiaro il riparto delle competenze amministrative e di semplificare lo svolgimento dei procedimenti.</w:t>
      </w:r>
    </w:p>
    <w:p w14:paraId="263C0843" w14:textId="54C06F5D" w:rsidR="00FE256C" w:rsidRDefault="00FE256C" w:rsidP="00FE256C">
      <w:r>
        <w:t>Tra le principali novità introdotte dalla riforma si segnalano:</w:t>
      </w:r>
    </w:p>
    <w:p w14:paraId="7BCE7B20" w14:textId="6A84B2D8" w:rsidR="00FE256C" w:rsidRDefault="00FE256C" w:rsidP="006B230F">
      <w:pPr>
        <w:pStyle w:val="Paragrafoelenco"/>
        <w:numPr>
          <w:ilvl w:val="0"/>
          <w:numId w:val="16"/>
        </w:numPr>
        <w:ind w:hanging="720"/>
      </w:pPr>
      <w:r>
        <w:t xml:space="preserve">la definizione di criteri uniformi per l’individuazione dell’autorità competente, </w:t>
      </w:r>
      <w:r w:rsidR="006B230F" w:rsidRPr="006B230F">
        <w:t>confermando</w:t>
      </w:r>
      <w:r w:rsidR="006B230F">
        <w:t xml:space="preserve"> </w:t>
      </w:r>
      <w:r w:rsidR="00200638" w:rsidRPr="00200638">
        <w:t>l’allineamento tra le competenze in materia di VIA e le competenze autorizzative</w:t>
      </w:r>
      <w:r w:rsidR="00573DDD">
        <w:t xml:space="preserve"> </w:t>
      </w:r>
      <w:r>
        <w:t>con un unico livello amministrativo responsabile, prevedendo una gestione unitaria dei progetti complessi, ed applicando il principio di prevalenza territoriale per i progetti interprovinciali;</w:t>
      </w:r>
    </w:p>
    <w:p w14:paraId="347B5DDE" w14:textId="4794571B" w:rsidR="00FE256C" w:rsidRDefault="00FE256C" w:rsidP="006B230F">
      <w:pPr>
        <w:pStyle w:val="Paragrafoelenco"/>
        <w:numPr>
          <w:ilvl w:val="0"/>
          <w:numId w:val="16"/>
        </w:numPr>
        <w:ind w:hanging="720"/>
      </w:pPr>
      <w:r>
        <w:t>la semplificazione delle procedure di verifica di assoggettabilità a VIA (screening), con il mantenimento del coordinamento con le procedure di Valutazione di incidenza ambientale (VIncA) e di Valutazione ambientale strategica (VAS);</w:t>
      </w:r>
    </w:p>
    <w:p w14:paraId="2432D67B" w14:textId="3AF651A7" w:rsidR="00FE256C" w:rsidRDefault="00FE256C" w:rsidP="006B230F">
      <w:pPr>
        <w:pStyle w:val="Paragrafoelenco"/>
        <w:numPr>
          <w:ilvl w:val="0"/>
          <w:numId w:val="16"/>
        </w:numPr>
        <w:ind w:hanging="720"/>
      </w:pPr>
      <w:r>
        <w:t xml:space="preserve">la conferma e </w:t>
      </w:r>
      <w:r w:rsidR="00E83AF2">
        <w:t xml:space="preserve">il </w:t>
      </w:r>
      <w:r>
        <w:t>potenziamento del portale regionale S.I.L.V.I.A. quale piattaforma unica per la trasparenza, il monitoraggio e la partecipazione di cittadini ed enti;</w:t>
      </w:r>
    </w:p>
    <w:p w14:paraId="797202A8" w14:textId="2BBA704E" w:rsidR="00FE256C" w:rsidRDefault="00FE256C" w:rsidP="006B230F">
      <w:pPr>
        <w:pStyle w:val="Paragrafoelenco"/>
        <w:numPr>
          <w:ilvl w:val="0"/>
          <w:numId w:val="16"/>
        </w:numPr>
        <w:ind w:hanging="720"/>
      </w:pPr>
      <w:r>
        <w:t xml:space="preserve">la possibilità di istituire Osservatori Ambientali, anche a livello provinciale, per verificare il rispetto delle condizioni ambientali previste nei provvedimenti di VIA e di verifica di </w:t>
      </w:r>
      <w:r>
        <w:lastRenderedPageBreak/>
        <w:t>assoggettabilità; i proventi delle sanzioni e degli oneri istruttori saranno destinati alle attività di vigilanza e monitoraggio;</w:t>
      </w:r>
    </w:p>
    <w:p w14:paraId="0DAC433D" w14:textId="2A92CCBC" w:rsidR="001E67A5" w:rsidRDefault="00FE256C" w:rsidP="001E67A5">
      <w:pPr>
        <w:pStyle w:val="Paragrafoelenco"/>
        <w:numPr>
          <w:ilvl w:val="0"/>
          <w:numId w:val="16"/>
        </w:numPr>
        <w:ind w:hanging="720"/>
      </w:pPr>
      <w:r>
        <w:t>una disciplina transitoria che prevede l’applicazione della normativa previgente ai procedimenti già avviati e della nuova legge alle istanze presentate dopo la sua entrata in vigore.</w:t>
      </w:r>
    </w:p>
    <w:p w14:paraId="409ABB60" w14:textId="77777777" w:rsidR="001E67A5" w:rsidRPr="00A16EC7" w:rsidRDefault="001E67A5" w:rsidP="001E67A5">
      <w:pPr>
        <w:pStyle w:val="SI-Titolo-11Level2"/>
      </w:pPr>
      <w:bookmarkStart w:id="17" w:name="_Toc244264402"/>
      <w:r w:rsidRPr="00EC28AA">
        <w:t xml:space="preserve">Caso “Park Towers”: la Corte dei </w:t>
      </w:r>
      <w:r>
        <w:t>C</w:t>
      </w:r>
      <w:r w:rsidRPr="00EC28AA">
        <w:t>onti esclude la responsabilità dei funzionari del Comune di Milano</w:t>
      </w:r>
      <w:r>
        <w:t xml:space="preserve"> | </w:t>
      </w:r>
      <w:r w:rsidRPr="00C341BA">
        <w:rPr>
          <w:i/>
          <w:iCs/>
        </w:rPr>
        <w:t>3 luglio 2026</w:t>
      </w:r>
      <w:bookmarkEnd w:id="17"/>
    </w:p>
    <w:p w14:paraId="0B13359C" w14:textId="77777777" w:rsidR="001E67A5" w:rsidRDefault="001E67A5" w:rsidP="001E67A5">
      <w:r>
        <w:t>Con la sentenza n. 106/2026, la Corte dei Conti – Sezione giurisdizionale per la Lombardia – si pronuncia su uno dei casi più rilevanti degli ultimi anni in materia di rigenerazione urbana, escludendo la responsabilità amministrativa di alcuni funzionari del Comune di Milano coinvolti nel procedimento penale relativo all’intervento “</w:t>
      </w:r>
      <w:r w:rsidRPr="0041459C">
        <w:rPr>
          <w:i/>
          <w:iCs/>
        </w:rPr>
        <w:t>Park Towers</w:t>
      </w:r>
      <w:r>
        <w:t>”.</w:t>
      </w:r>
    </w:p>
    <w:p w14:paraId="7AFC4C14" w14:textId="77777777" w:rsidR="001E67A5" w:rsidRDefault="001E67A5" w:rsidP="001E67A5">
      <w:r>
        <w:t>La Procura contabile contestava ai funzionari di avere erroneamente qualificato parte dell’intervento come ristrutturazione edilizia mediante demolizione e ricostruzione, anziché come nuova costruzione, determinando così – secondo l’impostazione accusatoria – un minor introito del contributo di costruzione e un conseguente danno erariale.</w:t>
      </w:r>
    </w:p>
    <w:p w14:paraId="3BFF9420" w14:textId="77777777" w:rsidR="001E67A5" w:rsidRDefault="001E67A5" w:rsidP="001E67A5">
      <w:r>
        <w:t>La decisione si inserisce in un contesto di crescente attenzione al corretto perimetro della responsabilità amministrativa e rappresenta una significativa boccata d’ossigeno per l’azione della Pubblica Amministrazione.</w:t>
      </w:r>
    </w:p>
    <w:p w14:paraId="56E26903" w14:textId="77777777" w:rsidR="001E67A5" w:rsidRDefault="001E67A5" w:rsidP="001E67A5">
      <w:r>
        <w:t>Nel merito, il Collegio rigetta la domanda per insussistenza della colpa grave, valorizzando in modo particolare la complessità del quadro normativo e giurisprudenziale di riferimento.</w:t>
      </w:r>
    </w:p>
    <w:p w14:paraId="46E38CAE" w14:textId="77777777" w:rsidR="001E67A5" w:rsidRDefault="001E67A5" w:rsidP="001E67A5">
      <w:r>
        <w:t>Particolarmente significativo è il passaggio in cui la Corte affronta il dibattito relativo alla nozione di ristrutturazione edilizia.</w:t>
      </w:r>
    </w:p>
    <w:p w14:paraId="2298BAF7" w14:textId="77777777" w:rsidR="001E67A5" w:rsidRDefault="001E67A5" w:rsidP="001E67A5">
      <w:r>
        <w:t>Pur richiamando l’orientamento secondo cui la demolizione e ricostruzione dovrebbe mantenere un collegamento sostanziale con l’edificio preesistente, il Collegio afferma che la colpa grave non può essere desunta dalla mera adesione a un orientamento giurisprudenziale, soprattutto quando esso non trova univoco riscontro nella lettera dell’art. 3 del D.P.R. n. 380/2001 ed è contraddetto da altri orientamenti giurisprudenziali interpretativi.</w:t>
      </w:r>
    </w:p>
    <w:p w14:paraId="584961B5" w14:textId="77777777" w:rsidR="001E67A5" w:rsidRDefault="001E67A5" w:rsidP="001E67A5">
      <w:r>
        <w:t>In questa prospettiva, la decisione fa trasparire un principio di particolare rilievo per l’operatività degli enti: in presenza di un quadro normativo non univoco e di orientamenti giurisprudenziali plurali, la scelta interpretativa ragionevolmente sostenibile non può essere, di per sé, fonte di responsabilità erariale.</w:t>
      </w:r>
    </w:p>
    <w:p w14:paraId="7324D2C5" w14:textId="61307FA1" w:rsidR="001E67A5" w:rsidRDefault="001E67A5" w:rsidP="001E67A5">
      <w:r>
        <w:t>Il quadro che ne emerge è quello di un equilibrio più definito tra esigenza di controllo e tutela dell’azione amministrativa, soprattutto nei settori – come quello urbanistico – caratterizzati da continua evoluzione normativa e tecnica.</w:t>
      </w:r>
    </w:p>
    <w:p w14:paraId="40C4DA28" w14:textId="734CF8FD" w:rsidR="00C341BA" w:rsidRPr="00A16EC7" w:rsidRDefault="003A59DF" w:rsidP="00C341BA">
      <w:pPr>
        <w:pStyle w:val="SI-Titolo-1Level1"/>
      </w:pPr>
      <w:bookmarkStart w:id="18" w:name="_Toc244264403"/>
      <w:r>
        <w:lastRenderedPageBreak/>
        <w:t>Litigation</w:t>
      </w:r>
      <w:bookmarkEnd w:id="18"/>
    </w:p>
    <w:p w14:paraId="1C2CBD11" w14:textId="39FF1E22" w:rsidR="0085154F" w:rsidRPr="0085154F" w:rsidRDefault="0022670D" w:rsidP="0022670D">
      <w:pPr>
        <w:pStyle w:val="SI-Titolo-11Level2"/>
      </w:pPr>
      <w:bookmarkStart w:id="19" w:name="_Toc244264404"/>
      <w:r w:rsidRPr="007C5973">
        <w:t xml:space="preserve">Compravendita </w:t>
      </w:r>
      <w:r w:rsidR="0085154F" w:rsidRPr="007C5973">
        <w:t>immobiliare, vincoli urbanistici e mancata dichiarazione nel contratto preliminare: la responsabilità del promittente venditore</w:t>
      </w:r>
      <w:r w:rsidR="0085154F">
        <w:rPr>
          <w:b w:val="0"/>
          <w:bCs w:val="0"/>
        </w:rPr>
        <w:t xml:space="preserve"> </w:t>
      </w:r>
      <w:r w:rsidR="00A81310">
        <w:rPr>
          <w:b w:val="0"/>
          <w:bCs w:val="0"/>
        </w:rPr>
        <w:t>|</w:t>
      </w:r>
      <w:r>
        <w:rPr>
          <w:b w:val="0"/>
          <w:bCs w:val="0"/>
        </w:rPr>
        <w:t xml:space="preserve"> </w:t>
      </w:r>
      <w:r w:rsidR="00923D0E">
        <w:rPr>
          <w:i/>
          <w:iCs/>
        </w:rPr>
        <w:t xml:space="preserve">settembre </w:t>
      </w:r>
      <w:r w:rsidR="001E469B" w:rsidRPr="001E469B">
        <w:rPr>
          <w:i/>
          <w:iCs/>
        </w:rPr>
        <w:t>2026</w:t>
      </w:r>
      <w:bookmarkEnd w:id="19"/>
    </w:p>
    <w:p w14:paraId="52E40CB3" w14:textId="77777777" w:rsidR="00681CDB" w:rsidRPr="00C9348E" w:rsidRDefault="00681CDB" w:rsidP="00681CDB">
      <w:r w:rsidRPr="00C9348E">
        <w:t>Con la sentenza n. 1381 del 5 maggio 2026, la Corte d’Appello di Milano, sezione IV, torna sul tema della responsabilità del promittente venditore per la mancata indicazione, nel contratto preliminare, dei vincoli gravanti sull’immobile promesso in vendita. La controversia riguardava, in particolare, vincoli di natura paesaggistica.</w:t>
      </w:r>
    </w:p>
    <w:p w14:paraId="11C8062C" w14:textId="77777777" w:rsidR="00681CDB" w:rsidRDefault="00681CDB" w:rsidP="00681CDB">
      <w:pPr>
        <w:spacing w:after="0"/>
      </w:pPr>
      <w:r w:rsidRPr="00C9348E">
        <w:t xml:space="preserve">La decisione si colloca nel solco dell’orientamento giurisprudenziale che, ai fini dell’applicazione dell’art. 1489 c.c., distingue i vincoli di carattere generale da quelli speciali, imposti sul singolo bene. </w:t>
      </w:r>
    </w:p>
    <w:p w14:paraId="41A182FA" w14:textId="77777777" w:rsidR="00681CDB" w:rsidRPr="00C9348E" w:rsidRDefault="00681CDB" w:rsidP="00681CDB">
      <w:r w:rsidRPr="00C9348E">
        <w:t>L</w:t>
      </w:r>
      <w:r>
        <w:t>’art 1489 c.c.</w:t>
      </w:r>
      <w:r w:rsidRPr="00C9348E">
        <w:t xml:space="preserve"> tutela l’acquirente nell’ipotesi in cui l’immobile risulti gravato da oneri o da diritti reali o personali non apparenti, non dichiarati nel contratto e dei quali egli non abbia avuto conoscenza, che ne diminuiscano il libero godimento, riconoscendogli, in presenza di tali presupposti, il diritto di domandare la risoluzione del contratto oppure la riduzione del prezzo.</w:t>
      </w:r>
    </w:p>
    <w:p w14:paraId="6C2A851D" w14:textId="77777777" w:rsidR="00681CDB" w:rsidRPr="00C9348E" w:rsidRDefault="00681CDB" w:rsidP="00681CDB">
      <w:r>
        <w:t>Ebbene, l</w:t>
      </w:r>
      <w:r w:rsidRPr="00C9348E">
        <w:t>a distinzione tra vincoli generali e speciali assume, pertanto, rilievo decisivo per stabilire se le limitazioni gravanti sull’immobile possano essere qualificate come oneri non apparenti e, conseguentemente, se la loro mancata dichiarazione possa determinare una responsabilità del venditore.</w:t>
      </w:r>
    </w:p>
    <w:p w14:paraId="364190A3" w14:textId="1A1A150F" w:rsidR="00681CDB" w:rsidRPr="00C9348E" w:rsidRDefault="00681CDB" w:rsidP="00681CDB">
      <w:r w:rsidRPr="00C9348E">
        <w:t xml:space="preserve">I vincoli di carattere generale discendono dalla legge o dagli strumenti di pianificazione territoriale e urbanistica. In quanto risultanti da prescrizioni generali debitamente approvate e pubblicate, efficaci </w:t>
      </w:r>
      <w:r w:rsidRPr="00C9348E">
        <w:rPr>
          <w:i/>
          <w:iCs/>
        </w:rPr>
        <w:t>erga omnes</w:t>
      </w:r>
      <w:r w:rsidRPr="00C9348E">
        <w:t>, sono assistite da una presunzione legale di conoscenza. Per tale ragione, non sono qualificabili come oneri non apparenti ai sensi dell’art. 1489 c.c. e la loro mancata indicazione nel contratto preliminare non costituisce, di per sé, fonte di responsabilità del promittente venditore.</w:t>
      </w:r>
    </w:p>
    <w:p w14:paraId="0C5694A9" w14:textId="77777777" w:rsidR="00681CDB" w:rsidRPr="00C9348E" w:rsidRDefault="00681CDB" w:rsidP="00681CDB">
      <w:r w:rsidRPr="00C9348E">
        <w:t>Diversamente, i vincoli speciali non derivano dalla disciplina generale applicabile a una determinata zona o categoria di beni, ma da specifici provvedimenti amministrativi di carattere particolare che incidono sul singolo immobile. Rispetto a tali vincoli non opera la medesima presunzione di conoscenza, sicché essi possono integrare gli oneri non apparenti contemplati dall’art. 1489 c.c., qualora non siano stati dichiarati nel contratto, non fossero conosciuti dall’acquirente e diminuiscano il libero godimento del bene.</w:t>
      </w:r>
    </w:p>
    <w:p w14:paraId="7091C9E5" w14:textId="77777777" w:rsidR="00681CDB" w:rsidRPr="00C9348E" w:rsidRDefault="00681CDB" w:rsidP="00681CDB">
      <w:r w:rsidRPr="00C9348E">
        <w:t>La Corte richiama, in proposito, Cass. civ., sez. II, 15 gennaio 2024, n. 1441, che distingue le prescrizioni degli strumenti urbanistici generali dai vincoli «introdotti da specifici provvedimenti amministrativi a carattere particolare, investenti il singolo bene».</w:t>
      </w:r>
    </w:p>
    <w:p w14:paraId="7E6F1A1C" w14:textId="68EE82FF" w:rsidR="00166412" w:rsidRPr="00A16EC7" w:rsidRDefault="00681CDB" w:rsidP="00166412">
      <w:r w:rsidRPr="00044353">
        <w:t xml:space="preserve">Il principio ricavabile dalla decisione </w:t>
      </w:r>
      <w:r>
        <w:t xml:space="preserve">è dunque che ai fini </w:t>
      </w:r>
      <w:r w:rsidRPr="00044353">
        <w:t>dell</w:t>
      </w:r>
      <w:r w:rsidR="00923D0E">
        <w:t>a</w:t>
      </w:r>
      <w:r w:rsidRPr="00044353">
        <w:t xml:space="preserve"> responsabilità del venditore dell’art. 1489 c.c., occorre </w:t>
      </w:r>
      <w:r>
        <w:t>avere riguardo alla</w:t>
      </w:r>
      <w:r w:rsidRPr="00044353">
        <w:t xml:space="preserve"> fonte del vincolo: se questo deriva da una prescrizione generale, pubblicata ed efficace erga omnes, opera la presunzione legale di conoscenza e non sussiste, in linea di principio, un obbligo del venditore di dichiararlo; se, invece, la limitazione deriva da un provvedimento particolare riguardante specificamente il bene </w:t>
      </w:r>
      <w:r w:rsidRPr="00044353">
        <w:lastRenderedPageBreak/>
        <w:t>compravenduto, essa può integrare un onere non apparente rilevante ai sensi dell’art. 1489 c.c., ove ne ricorrano gli ulteriori presupposti</w:t>
      </w:r>
      <w:r>
        <w:t>.</w:t>
      </w:r>
    </w:p>
    <w:sectPr w:rsidR="00166412" w:rsidRPr="00A16EC7" w:rsidSect="00464D65">
      <w:headerReference w:type="first" r:id="rId22"/>
      <w:footerReference w:type="first" r:id="rId23"/>
      <w:pgSz w:w="11906" w:h="16838"/>
      <w:pgMar w:top="1843" w:right="1134" w:bottom="1134" w:left="1134" w:header="851"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85A95" w14:textId="77777777" w:rsidR="00B50C74" w:rsidRPr="00A16EC7" w:rsidRDefault="00B50C74" w:rsidP="005A025A">
      <w:r w:rsidRPr="00A16EC7">
        <w:separator/>
      </w:r>
    </w:p>
  </w:endnote>
  <w:endnote w:type="continuationSeparator" w:id="0">
    <w:p w14:paraId="21E3C8F8" w14:textId="77777777" w:rsidR="00B50C74" w:rsidRPr="00A16EC7" w:rsidRDefault="00B50C74" w:rsidP="005A025A">
      <w:r w:rsidRPr="00A16E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BF9C7790-CEB8-4FDA-BAF4-B1969709DA18}"/>
    <w:embedBold r:id="rId2" w:fontKey="{8442019A-4705-44BD-99F0-134A5C140087}"/>
    <w:embedItalic r:id="rId3" w:fontKey="{79F032D5-34FB-4FFC-9E98-239E7C164943}"/>
    <w:embedBoldItalic r:id="rId4" w:fontKey="{DD0530F8-57AD-46C7-86F7-6ABBA97396E8}"/>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orpo CS)">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60816739"/>
      <w:docPartObj>
        <w:docPartGallery w:val="Page Numbers (Bottom of Page)"/>
        <w:docPartUnique/>
      </w:docPartObj>
    </w:sdtPr>
    <w:sdtEndPr>
      <w:rPr>
        <w:b w:val="0"/>
        <w:bCs w:val="0"/>
        <w:color w:val="AE8C63"/>
      </w:rPr>
    </w:sdtEndPr>
    <w:sdtContent>
      <w:p w14:paraId="1314A414" w14:textId="77777777" w:rsidR="00BB6FAE" w:rsidRPr="00A16EC7" w:rsidRDefault="00F34D63" w:rsidP="003A01FB">
        <w:pPr>
          <w:jc w:val="right"/>
          <w:rPr>
            <w:color w:val="AE8C63"/>
          </w:rPr>
        </w:pPr>
        <w:r w:rsidRPr="00A16EC7">
          <w:rPr>
            <w:color w:val="AE8C63"/>
          </w:rPr>
          <w:fldChar w:fldCharType="begin"/>
        </w:r>
        <w:r w:rsidRPr="00A16EC7">
          <w:rPr>
            <w:color w:val="AE8C63"/>
          </w:rPr>
          <w:instrText>PAGE   \* MERGEFORMAT</w:instrText>
        </w:r>
        <w:r w:rsidRPr="00A16EC7">
          <w:rPr>
            <w:color w:val="AE8C63"/>
          </w:rPr>
          <w:fldChar w:fldCharType="separate"/>
        </w:r>
        <w:r w:rsidRPr="00A16EC7">
          <w:rPr>
            <w:color w:val="AE8C63"/>
          </w:rPr>
          <w:t>2</w:t>
        </w:r>
        <w:r w:rsidRPr="00A16EC7">
          <w:rPr>
            <w:color w:val="AE8C63"/>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122876"/>
      <w:docPartObj>
        <w:docPartGallery w:val="Page Numbers (Bottom of Page)"/>
        <w:docPartUnique/>
      </w:docPartObj>
    </w:sdtPr>
    <w:sdtEndPr>
      <w:rPr>
        <w:color w:val="AE8C63"/>
      </w:rPr>
    </w:sdtEndPr>
    <w:sdtContent>
      <w:p w14:paraId="5A4F44A6" w14:textId="77777777" w:rsidR="00B57888" w:rsidRPr="00A16EC7" w:rsidRDefault="00B57888">
        <w:pPr>
          <w:pStyle w:val="Pidipagina"/>
          <w:jc w:val="right"/>
          <w:rPr>
            <w:color w:val="AE8C63"/>
          </w:rPr>
        </w:pPr>
        <w:r w:rsidRPr="00A16EC7">
          <w:rPr>
            <w:color w:val="AE8C63"/>
          </w:rPr>
          <w:fldChar w:fldCharType="begin"/>
        </w:r>
        <w:r w:rsidRPr="00A16EC7">
          <w:rPr>
            <w:color w:val="AE8C63"/>
          </w:rPr>
          <w:instrText>PAGE   \* MERGEFORMAT</w:instrText>
        </w:r>
        <w:r w:rsidRPr="00A16EC7">
          <w:rPr>
            <w:color w:val="AE8C63"/>
          </w:rPr>
          <w:fldChar w:fldCharType="separate"/>
        </w:r>
        <w:r w:rsidRPr="00A16EC7">
          <w:rPr>
            <w:color w:val="AE8C63"/>
          </w:rPr>
          <w:t>2</w:t>
        </w:r>
        <w:r w:rsidRPr="00A16EC7">
          <w:rPr>
            <w:color w:val="AE8C63"/>
          </w:rPr>
          <w:fldChar w:fldCharType="end"/>
        </w:r>
      </w:p>
    </w:sdtContent>
  </w:sdt>
  <w:p w14:paraId="2E097B1C" w14:textId="77777777" w:rsidR="00B57888" w:rsidRPr="00A16EC7" w:rsidRDefault="00B5788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583718"/>
      <w:docPartObj>
        <w:docPartGallery w:val="Page Numbers (Bottom of Page)"/>
        <w:docPartUnique/>
      </w:docPartObj>
    </w:sdtPr>
    <w:sdtEndPr>
      <w:rPr>
        <w:color w:val="AE8C63"/>
      </w:rPr>
    </w:sdtEndPr>
    <w:sdtContent>
      <w:p w14:paraId="11FF42FE" w14:textId="77777777" w:rsidR="00ED5C14" w:rsidRPr="00A16EC7" w:rsidRDefault="00ED5C14" w:rsidP="003814CA">
        <w:pPr>
          <w:pStyle w:val="Pidipagina"/>
          <w:jc w:val="right"/>
          <w:rPr>
            <w:color w:val="AE8C63"/>
          </w:rPr>
        </w:pPr>
        <w:r w:rsidRPr="00A16EC7">
          <w:rPr>
            <w:color w:val="AE8C63"/>
          </w:rPr>
          <w:fldChar w:fldCharType="begin"/>
        </w:r>
        <w:r w:rsidRPr="00A16EC7">
          <w:rPr>
            <w:color w:val="AE8C63"/>
          </w:rPr>
          <w:instrText>PAGE   \* MERGEFORMAT</w:instrText>
        </w:r>
        <w:r w:rsidRPr="00A16EC7">
          <w:rPr>
            <w:color w:val="AE8C63"/>
          </w:rPr>
          <w:fldChar w:fldCharType="separate"/>
        </w:r>
        <w:r w:rsidRPr="00A16EC7">
          <w:rPr>
            <w:color w:val="AE8C63"/>
          </w:rPr>
          <w:t>2</w:t>
        </w:r>
        <w:r w:rsidRPr="00A16EC7">
          <w:rPr>
            <w:color w:val="AE8C63"/>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2D0F" w14:textId="77777777" w:rsidR="00B50C74" w:rsidRPr="00A16EC7" w:rsidRDefault="00B50C74" w:rsidP="005A025A">
      <w:r w:rsidRPr="00A16EC7">
        <w:separator/>
      </w:r>
    </w:p>
  </w:footnote>
  <w:footnote w:type="continuationSeparator" w:id="0">
    <w:p w14:paraId="131D9D47" w14:textId="77777777" w:rsidR="00B50C74" w:rsidRPr="00A16EC7" w:rsidRDefault="00B50C74" w:rsidP="005A025A">
      <w:r w:rsidRPr="00A16E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5758" w14:textId="77777777" w:rsidR="00F85BBF" w:rsidRPr="00A16EC7" w:rsidRDefault="00B57888" w:rsidP="00B57888">
    <w:r w:rsidRPr="00A16EC7">
      <w:rPr>
        <w:noProof/>
      </w:rPr>
      <w:drawing>
        <wp:anchor distT="0" distB="0" distL="114300" distR="114300" simplePos="0" relativeHeight="251653120" behindDoc="0" locked="0" layoutInCell="1" allowOverlap="1" wp14:anchorId="448C2566" wp14:editId="4F838282">
          <wp:simplePos x="0" y="0"/>
          <wp:positionH relativeFrom="page">
            <wp:posOffset>-206</wp:posOffset>
          </wp:positionH>
          <wp:positionV relativeFrom="paragraph">
            <wp:posOffset>-535940</wp:posOffset>
          </wp:positionV>
          <wp:extent cx="7556050" cy="10680063"/>
          <wp:effectExtent l="0" t="0" r="6985" b="7620"/>
          <wp:wrapNone/>
          <wp:docPr id="1027021154" name="Immagine 36" descr="Immagine che contiene testo, schermata, edifici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33416" name="Immagine 36" descr="Immagine che contiene testo, schermata, edificio, design"/>
                  <pic:cNvPicPr/>
                </pic:nvPicPr>
                <pic:blipFill>
                  <a:blip r:embed="rId1">
                    <a:extLst>
                      <a:ext uri="{28A0092B-C50C-407E-A947-70E740481C1C}">
                        <a14:useLocalDpi xmlns:a14="http://schemas.microsoft.com/office/drawing/2010/main" val="0"/>
                      </a:ext>
                    </a:extLst>
                  </a:blip>
                  <a:stretch>
                    <a:fillRect/>
                  </a:stretch>
                </pic:blipFill>
                <pic:spPr>
                  <a:xfrm>
                    <a:off x="0" y="0"/>
                    <a:ext cx="7556050" cy="1068006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E802" w14:textId="23B44EE4" w:rsidR="00833DE4" w:rsidRPr="006262C4" w:rsidRDefault="00A37DB3" w:rsidP="00C6781D">
    <w:pPr>
      <w:ind w:right="-1"/>
      <w:jc w:val="right"/>
      <w:rPr>
        <w:rFonts w:cs="Lucida Sans Unicode"/>
        <w:color w:val="AF8C64"/>
        <w:lang w:val="en-US"/>
      </w:rPr>
    </w:pPr>
    <w:r w:rsidRPr="00A16EC7">
      <w:rPr>
        <w:b/>
        <w:bCs/>
        <w:noProof/>
        <w:color w:val="01676E"/>
        <w:sz w:val="32"/>
        <w:szCs w:val="32"/>
      </w:rPr>
      <w:drawing>
        <wp:anchor distT="0" distB="0" distL="114300" distR="114300" simplePos="0" relativeHeight="251666432" behindDoc="0" locked="0" layoutInCell="1" allowOverlap="1" wp14:anchorId="0332A7DF" wp14:editId="495EC60A">
          <wp:simplePos x="0" y="0"/>
          <wp:positionH relativeFrom="margin">
            <wp:align>left</wp:align>
          </wp:positionH>
          <wp:positionV relativeFrom="paragraph">
            <wp:posOffset>-95201</wp:posOffset>
          </wp:positionV>
          <wp:extent cx="461645" cy="461645"/>
          <wp:effectExtent l="0" t="0" r="0" b="0"/>
          <wp:wrapNone/>
          <wp:docPr id="18537802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6262C4">
      <w:rPr>
        <w:rFonts w:cs="Lucida Sans Unicode"/>
        <w:color w:val="AF8C64"/>
        <w:lang w:val="en-US"/>
      </w:rPr>
      <w:t xml:space="preserve">REAL ESTATE NEWS </w:t>
    </w:r>
    <w:r w:rsidRPr="006262C4">
      <w:rPr>
        <w:rFonts w:cs="Lucida Sans Unicode"/>
        <w:b/>
        <w:bCs/>
        <w:color w:val="002E5D"/>
        <w:lang w:val="en-US"/>
      </w:rPr>
      <w:t>n°</w:t>
    </w:r>
    <w:r w:rsidR="002E1ABF">
      <w:rPr>
        <w:rFonts w:cs="Lucida Sans Unicode"/>
        <w:b/>
        <w:bCs/>
        <w:color w:val="002E5D"/>
        <w:lang w:val="en-US"/>
      </w:rPr>
      <w:t xml:space="preserve">9 </w:t>
    </w:r>
    <w:r w:rsidRPr="006262C4">
      <w:rPr>
        <w:rFonts w:cs="Lucida Sans Unicode"/>
        <w:color w:val="002E5D"/>
        <w:lang w:val="en-US"/>
      </w:rPr>
      <w:t xml:space="preserve">– </w:t>
    </w:r>
    <w:r w:rsidR="002E1ABF">
      <w:rPr>
        <w:rFonts w:cs="Lucida Sans Unicode"/>
        <w:color w:val="002E5D"/>
        <w:lang w:val="en-US"/>
      </w:rPr>
      <w:t xml:space="preserve">Ottobre </w:t>
    </w:r>
    <w:r w:rsidRPr="006262C4">
      <w:rPr>
        <w:rFonts w:cs="Lucida Sans Unicode"/>
        <w:color w:val="AF8C62"/>
        <w:lang w:val="en-US"/>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A8BE" w14:textId="77777777" w:rsidR="00B57888" w:rsidRPr="006262C4" w:rsidRDefault="00B57888" w:rsidP="00B57888">
    <w:pPr>
      <w:ind w:right="-1"/>
      <w:jc w:val="right"/>
      <w:rPr>
        <w:rFonts w:cs="Lucida Sans Unicode"/>
        <w:color w:val="AF8C64"/>
        <w:lang w:val="en-US"/>
      </w:rPr>
    </w:pPr>
    <w:r w:rsidRPr="00A16EC7">
      <w:rPr>
        <w:b/>
        <w:bCs/>
        <w:noProof/>
        <w:color w:val="01676E"/>
        <w:sz w:val="32"/>
        <w:szCs w:val="32"/>
      </w:rPr>
      <w:drawing>
        <wp:anchor distT="0" distB="0" distL="114300" distR="114300" simplePos="0" relativeHeight="251661312" behindDoc="0" locked="0" layoutInCell="1" allowOverlap="1" wp14:anchorId="53E05808" wp14:editId="609E190D">
          <wp:simplePos x="0" y="0"/>
          <wp:positionH relativeFrom="margin">
            <wp:align>left</wp:align>
          </wp:positionH>
          <wp:positionV relativeFrom="paragraph">
            <wp:posOffset>-19636</wp:posOffset>
          </wp:positionV>
          <wp:extent cx="461645" cy="461645"/>
          <wp:effectExtent l="0" t="0" r="0" b="0"/>
          <wp:wrapNone/>
          <wp:docPr id="8473442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6262C4">
      <w:rPr>
        <w:rFonts w:cs="Lucida Sans Unicode"/>
        <w:color w:val="AF8C64"/>
        <w:lang w:val="en-US"/>
      </w:rPr>
      <w:t xml:space="preserve">REAL ESTATE NEWS </w:t>
    </w:r>
    <w:r w:rsidRPr="006262C4">
      <w:rPr>
        <w:rFonts w:cs="Lucida Sans Unicode"/>
        <w:b/>
        <w:bCs/>
        <w:color w:val="002E5D"/>
        <w:lang w:val="en-US"/>
      </w:rPr>
      <w:t xml:space="preserve">n°1 </w:t>
    </w:r>
    <w:r w:rsidRPr="006262C4">
      <w:rPr>
        <w:rFonts w:cs="Lucida Sans Unicode"/>
        <w:color w:val="002E5D"/>
        <w:lang w:val="en-US"/>
      </w:rPr>
      <w:t xml:space="preserve">– January </w:t>
    </w:r>
    <w:r w:rsidRPr="006262C4">
      <w:rPr>
        <w:rFonts w:cs="Lucida Sans Unicode"/>
        <w:color w:val="AF8C62"/>
        <w:lang w:val="en-US"/>
      </w:rPr>
      <w:t>2025</w:t>
    </w:r>
  </w:p>
  <w:p w14:paraId="183B5013" w14:textId="77777777" w:rsidR="00B57888" w:rsidRPr="006262C4" w:rsidRDefault="00B57888">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7D23" w14:textId="3B3A000C" w:rsidR="00ED5C14" w:rsidRPr="006262C4" w:rsidRDefault="00ED5C14" w:rsidP="00944AA9">
    <w:pPr>
      <w:ind w:right="-1"/>
      <w:jc w:val="right"/>
      <w:rPr>
        <w:rFonts w:cs="Lucida Sans Unicode"/>
        <w:color w:val="AF8C64"/>
        <w:lang w:val="en-US"/>
      </w:rPr>
    </w:pPr>
    <w:r w:rsidRPr="00A16EC7">
      <w:rPr>
        <w:b/>
        <w:bCs/>
        <w:noProof/>
        <w:color w:val="01676E"/>
        <w:sz w:val="32"/>
        <w:szCs w:val="32"/>
      </w:rPr>
      <w:drawing>
        <wp:anchor distT="0" distB="0" distL="114300" distR="114300" simplePos="0" relativeHeight="251762176" behindDoc="0" locked="0" layoutInCell="1" allowOverlap="1" wp14:anchorId="2C33E203" wp14:editId="5D726235">
          <wp:simplePos x="0" y="0"/>
          <wp:positionH relativeFrom="margin">
            <wp:align>left</wp:align>
          </wp:positionH>
          <wp:positionV relativeFrom="paragraph">
            <wp:posOffset>-19636</wp:posOffset>
          </wp:positionV>
          <wp:extent cx="461645" cy="461645"/>
          <wp:effectExtent l="0" t="0" r="0" b="0"/>
          <wp:wrapNone/>
          <wp:docPr id="14059245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6262C4">
      <w:rPr>
        <w:rFonts w:cs="Lucida Sans Unicode"/>
        <w:color w:val="AF8C64"/>
        <w:lang w:val="en-US"/>
      </w:rPr>
      <w:t xml:space="preserve">REAL ESTATE NEWS </w:t>
    </w:r>
    <w:r w:rsidRPr="006262C4">
      <w:rPr>
        <w:rFonts w:cs="Lucida Sans Unicode"/>
        <w:b/>
        <w:bCs/>
        <w:color w:val="002E5D"/>
        <w:lang w:val="en-US"/>
      </w:rPr>
      <w:t>n°</w:t>
    </w:r>
    <w:r w:rsidR="001C4AFB">
      <w:rPr>
        <w:rFonts w:cs="Lucida Sans Unicode"/>
        <w:b/>
        <w:bCs/>
        <w:color w:val="002E5D"/>
        <w:lang w:val="en-US"/>
      </w:rPr>
      <w:t>9</w:t>
    </w:r>
    <w:r w:rsidRPr="006262C4">
      <w:rPr>
        <w:rFonts w:cs="Lucida Sans Unicode"/>
        <w:b/>
        <w:bCs/>
        <w:color w:val="002E5D"/>
        <w:lang w:val="en-US"/>
      </w:rPr>
      <w:t xml:space="preserve"> </w:t>
    </w:r>
    <w:r w:rsidRPr="006262C4">
      <w:rPr>
        <w:rFonts w:cs="Lucida Sans Unicode"/>
        <w:color w:val="002E5D"/>
        <w:lang w:val="en-US"/>
      </w:rPr>
      <w:t xml:space="preserve">– </w:t>
    </w:r>
    <w:r w:rsidR="002E1ABF">
      <w:rPr>
        <w:rFonts w:cs="Lucida Sans Unicode"/>
        <w:color w:val="002E5D"/>
        <w:lang w:val="en-US"/>
      </w:rPr>
      <w:t xml:space="preserve">Ottobre </w:t>
    </w:r>
    <w:r w:rsidRPr="006262C4">
      <w:rPr>
        <w:rFonts w:cs="Lucida Sans Unicode"/>
        <w:color w:val="AF8C62"/>
        <w:lang w:val="en-US"/>
      </w:rPr>
      <w:t>202</w:t>
    </w:r>
    <w:r w:rsidR="003B2F7A" w:rsidRPr="006262C4">
      <w:rPr>
        <w:rFonts w:cs="Lucida Sans Unicode"/>
        <w:color w:val="AF8C62"/>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C4F"/>
    <w:multiLevelType w:val="hybridMultilevel"/>
    <w:tmpl w:val="97D41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B475A9"/>
    <w:multiLevelType w:val="multilevel"/>
    <w:tmpl w:val="C3F2B58E"/>
    <w:lvl w:ilvl="0">
      <w:start w:val="1"/>
      <w:numFmt w:val="decimal"/>
      <w:pStyle w:val="Titolo1"/>
      <w:lvlText w:val="%1."/>
      <w:lvlJc w:val="left"/>
      <w:pPr>
        <w:ind w:left="5605" w:hanging="360"/>
      </w:pPr>
      <w:rPr>
        <w:b/>
        <w:bCs/>
        <w:i w:val="0"/>
        <w:iCs w:val="0"/>
        <w:caps w:val="0"/>
        <w:smallCaps w:val="0"/>
        <w:strike w:val="0"/>
        <w:dstrike w:val="0"/>
        <w:noProof w:val="0"/>
        <w:vanish w:val="0"/>
        <w:color w:val="002E5D"/>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olo2"/>
      <w:lvlText w:val="%1.%2"/>
      <w:lvlJc w:val="left"/>
      <w:pPr>
        <w:ind w:left="5605" w:hanging="360"/>
      </w:pPr>
      <w:rPr>
        <w:color w:val="002E5D"/>
      </w:rPr>
    </w:lvl>
    <w:lvl w:ilvl="2">
      <w:start w:val="1"/>
      <w:numFmt w:val="decimal"/>
      <w:lvlText w:val="%1.%2.%3"/>
      <w:lvlJc w:val="left"/>
      <w:pPr>
        <w:ind w:left="5965" w:hanging="720"/>
      </w:pPr>
    </w:lvl>
    <w:lvl w:ilvl="3">
      <w:start w:val="1"/>
      <w:numFmt w:val="decimal"/>
      <w:lvlText w:val="%1.%2.%3.%4"/>
      <w:lvlJc w:val="left"/>
      <w:pPr>
        <w:ind w:left="5965" w:hanging="720"/>
      </w:pPr>
    </w:lvl>
    <w:lvl w:ilvl="4">
      <w:start w:val="1"/>
      <w:numFmt w:val="decimal"/>
      <w:lvlText w:val="%1.%2.%3.%4.%5"/>
      <w:lvlJc w:val="left"/>
      <w:pPr>
        <w:ind w:left="6325" w:hanging="1080"/>
      </w:pPr>
    </w:lvl>
    <w:lvl w:ilvl="5">
      <w:start w:val="1"/>
      <w:numFmt w:val="decimal"/>
      <w:lvlText w:val="%1.%2.%3.%4.%5.%6"/>
      <w:lvlJc w:val="left"/>
      <w:pPr>
        <w:ind w:left="6685" w:hanging="1440"/>
      </w:pPr>
    </w:lvl>
    <w:lvl w:ilvl="6">
      <w:start w:val="1"/>
      <w:numFmt w:val="decimal"/>
      <w:lvlText w:val="%1.%2.%3.%4.%5.%6.%7"/>
      <w:lvlJc w:val="left"/>
      <w:pPr>
        <w:ind w:left="6685" w:hanging="1440"/>
      </w:pPr>
    </w:lvl>
    <w:lvl w:ilvl="7">
      <w:start w:val="1"/>
      <w:numFmt w:val="decimal"/>
      <w:lvlText w:val="%1.%2.%3.%4.%5.%6.%7.%8"/>
      <w:lvlJc w:val="left"/>
      <w:pPr>
        <w:ind w:left="7045" w:hanging="1800"/>
      </w:pPr>
    </w:lvl>
    <w:lvl w:ilvl="8">
      <w:start w:val="1"/>
      <w:numFmt w:val="decimal"/>
      <w:lvlText w:val="%1.%2.%3.%4.%5.%6.%7.%8.%9"/>
      <w:lvlJc w:val="left"/>
      <w:pPr>
        <w:ind w:left="7045" w:hanging="1800"/>
      </w:pPr>
    </w:lvl>
  </w:abstractNum>
  <w:abstractNum w:abstractNumId="2" w15:restartNumberingAfterBreak="0">
    <w:nsid w:val="07A5719A"/>
    <w:multiLevelType w:val="hybridMultilevel"/>
    <w:tmpl w:val="5B3094D6"/>
    <w:lvl w:ilvl="0" w:tplc="571AFA70">
      <w:start w:val="1"/>
      <w:numFmt w:val="decimal"/>
      <w:pStyle w:val="Paragrafoelenco"/>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5F1F55"/>
    <w:multiLevelType w:val="hybridMultilevel"/>
    <w:tmpl w:val="00CA87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662DD5"/>
    <w:multiLevelType w:val="hybridMultilevel"/>
    <w:tmpl w:val="F3EA0DB8"/>
    <w:lvl w:ilvl="0" w:tplc="B0369714">
      <w:numFmt w:val="bullet"/>
      <w:pStyle w:val="SI-ElencoStyle1-noindent-ai-Level3"/>
      <w:lvlText w:val="-"/>
      <w:lvlJc w:val="left"/>
      <w:pPr>
        <w:ind w:left="2520" w:hanging="360"/>
      </w:pPr>
      <w:rPr>
        <w:rFonts w:ascii="Verdana" w:eastAsia="Times New Roman" w:hAnsi="Verdana" w:cs="Open San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5" w15:restartNumberingAfterBreak="0">
    <w:nsid w:val="0B8B02E5"/>
    <w:multiLevelType w:val="hybridMultilevel"/>
    <w:tmpl w:val="7D6C0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602DEC"/>
    <w:multiLevelType w:val="hybridMultilevel"/>
    <w:tmpl w:val="1AC8E3F0"/>
    <w:lvl w:ilvl="0" w:tplc="FA901642">
      <w:start w:val="1"/>
      <w:numFmt w:val="upperLetter"/>
      <w:pStyle w:val="SI-ElencoLettere"/>
      <w:lvlText w:val="%1"/>
      <w:lvlJc w:val="left"/>
      <w:pPr>
        <w:ind w:left="360" w:hanging="360"/>
      </w:pPr>
      <w:rPr>
        <w:rFonts w:ascii="Verdana" w:hAnsi="Verdana" w:hint="default"/>
        <w:b/>
        <w:i w:val="0"/>
        <w:sz w:val="21"/>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7" w15:restartNumberingAfterBreak="0">
    <w:nsid w:val="168D4847"/>
    <w:multiLevelType w:val="multilevel"/>
    <w:tmpl w:val="597A3886"/>
    <w:name w:val="Studio I.222"/>
    <w:lvl w:ilvl="0">
      <w:start w:val="1"/>
      <w:numFmt w:val="decimal"/>
      <w:lvlText w:val="ALLEGATO %1:"/>
      <w:lvlJc w:val="left"/>
      <w:pPr>
        <w:ind w:left="717" w:hanging="360"/>
      </w:pPr>
      <w:rPr>
        <w:rFonts w:ascii="Verdana" w:hAnsi="Verdana" w:hint="default"/>
        <w:b/>
        <w:i w:val="0"/>
        <w:sz w:val="21"/>
        <w:lang w:val="en-U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AF315FA"/>
    <w:multiLevelType w:val="multilevel"/>
    <w:tmpl w:val="743457AE"/>
    <w:name w:val="Studio I."/>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pStyle w:val="SI-Titolo-111Level3"/>
      <w:lvlText w:val="%1.%2.%3"/>
      <w:lvlJc w:val="left"/>
      <w:pPr>
        <w:ind w:left="720" w:hanging="720"/>
      </w:pPr>
      <w:rPr>
        <w:rFonts w:hint="default"/>
        <w:lang w:val="en-US"/>
      </w:rPr>
    </w:lvl>
    <w:lvl w:ilvl="3">
      <w:start w:val="1"/>
      <w:numFmt w:val="lowerLetter"/>
      <w:pStyle w:val="SI-ElencoStyle2-conindent-ai-Level1"/>
      <w:lvlText w:val="(%4)"/>
      <w:lvlJc w:val="left"/>
      <w:pPr>
        <w:ind w:left="1440" w:hanging="720"/>
      </w:pPr>
      <w:rPr>
        <w:rFonts w:hint="default"/>
      </w:rPr>
    </w:lvl>
    <w:lvl w:ilvl="4">
      <w:start w:val="1"/>
      <w:numFmt w:val="lowerRoman"/>
      <w:pStyle w:val="SI-ElencoStyle2-conindent-ai-Level2"/>
      <w:lvlText w:val="(%5) "/>
      <w:lvlJc w:val="left"/>
      <w:pPr>
        <w:ind w:left="2160" w:hanging="720"/>
      </w:pPr>
      <w:rPr>
        <w:rFonts w:hint="default"/>
      </w:rPr>
    </w:lvl>
    <w:lvl w:ilvl="5">
      <w:start w:val="1"/>
      <w:numFmt w:val="none"/>
      <w:pStyle w:val="SI-ElencoStyle2-conindent-ai-Level3"/>
      <w:lvlText w:val="%6-"/>
      <w:lvlJc w:val="left"/>
      <w:pPr>
        <w:ind w:left="2880" w:hanging="720"/>
      </w:pPr>
      <w:rPr>
        <w:rFonts w:hint="default"/>
      </w:rPr>
    </w:lvl>
    <w:lvl w:ilvl="6">
      <w:start w:val="1"/>
      <w:numFmt w:val="lowerRoman"/>
      <w:pStyle w:val="SI-ElencoStyle3-conindent-ia-Level1"/>
      <w:lvlText w:val="(%7)"/>
      <w:lvlJc w:val="left"/>
      <w:pPr>
        <w:ind w:left="1440" w:hanging="720"/>
      </w:pPr>
      <w:rPr>
        <w:rFonts w:hint="default"/>
      </w:rPr>
    </w:lvl>
    <w:lvl w:ilvl="7">
      <w:start w:val="1"/>
      <w:numFmt w:val="lowerLetter"/>
      <w:pStyle w:val="SI-ElencoStyle3-conindent-ia-Level2"/>
      <w:lvlText w:val="(%8)"/>
      <w:lvlJc w:val="left"/>
      <w:pPr>
        <w:ind w:left="2160" w:hanging="720"/>
      </w:pPr>
      <w:rPr>
        <w:rFonts w:hint="default"/>
      </w:rPr>
    </w:lvl>
    <w:lvl w:ilvl="8">
      <w:start w:val="1"/>
      <w:numFmt w:val="none"/>
      <w:lvlText w:val="%9-"/>
      <w:lvlJc w:val="left"/>
      <w:pPr>
        <w:ind w:left="2880" w:hanging="720"/>
      </w:pPr>
      <w:rPr>
        <w:rFonts w:hint="default"/>
      </w:rPr>
    </w:lvl>
  </w:abstractNum>
  <w:abstractNum w:abstractNumId="9" w15:restartNumberingAfterBreak="0">
    <w:nsid w:val="25D92FEF"/>
    <w:multiLevelType w:val="hybridMultilevel"/>
    <w:tmpl w:val="5B3C6118"/>
    <w:name w:val="Studio I.2"/>
    <w:lvl w:ilvl="0" w:tplc="33A46D12">
      <w:start w:val="1"/>
      <w:numFmt w:val="bullet"/>
      <w:pStyle w:val="Sommario2"/>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10" w15:restartNumberingAfterBreak="0">
    <w:nsid w:val="313321AF"/>
    <w:multiLevelType w:val="hybridMultilevel"/>
    <w:tmpl w:val="D41CA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B1563F"/>
    <w:multiLevelType w:val="hybridMultilevel"/>
    <w:tmpl w:val="E6D8AA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5246A26"/>
    <w:multiLevelType w:val="hybridMultilevel"/>
    <w:tmpl w:val="1D00FE32"/>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B0F5CCA"/>
    <w:multiLevelType w:val="hybridMultilevel"/>
    <w:tmpl w:val="00CA87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EA5ABA"/>
    <w:multiLevelType w:val="hybridMultilevel"/>
    <w:tmpl w:val="9E5EFC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F0A31E8"/>
    <w:multiLevelType w:val="hybridMultilevel"/>
    <w:tmpl w:val="286041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097609"/>
    <w:multiLevelType w:val="hybridMultilevel"/>
    <w:tmpl w:val="928695D8"/>
    <w:lvl w:ilvl="0" w:tplc="151E9914">
      <w:start w:val="1"/>
      <w:numFmt w:val="decimal"/>
      <w:pStyle w:val="SI-ElencoNumeri"/>
      <w:lvlText w:val="%1."/>
      <w:lvlJc w:val="left"/>
      <w:pPr>
        <w:ind w:left="36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47D398A"/>
    <w:multiLevelType w:val="hybridMultilevel"/>
    <w:tmpl w:val="2B5487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62237A5"/>
    <w:multiLevelType w:val="hybridMultilevel"/>
    <w:tmpl w:val="DC3695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6601712"/>
    <w:multiLevelType w:val="hybridMultilevel"/>
    <w:tmpl w:val="759EA1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6F02E24"/>
    <w:multiLevelType w:val="hybridMultilevel"/>
    <w:tmpl w:val="95A8F8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43F4742"/>
    <w:multiLevelType w:val="hybridMultilevel"/>
    <w:tmpl w:val="DE420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320FE7"/>
    <w:multiLevelType w:val="hybridMultilevel"/>
    <w:tmpl w:val="6800231C"/>
    <w:lvl w:ilvl="0" w:tplc="7642574C">
      <w:start w:val="1"/>
      <w:numFmt w:val="bullet"/>
      <w:lvlText w:val="•"/>
      <w:lvlJc w:val="left"/>
      <w:pPr>
        <w:tabs>
          <w:tab w:val="num" w:pos="720"/>
        </w:tabs>
        <w:ind w:left="720" w:hanging="360"/>
      </w:pPr>
      <w:rPr>
        <w:rFonts w:ascii="Arial" w:hAnsi="Arial" w:hint="default"/>
      </w:rPr>
    </w:lvl>
    <w:lvl w:ilvl="1" w:tplc="80942518" w:tentative="1">
      <w:start w:val="1"/>
      <w:numFmt w:val="bullet"/>
      <w:lvlText w:val="•"/>
      <w:lvlJc w:val="left"/>
      <w:pPr>
        <w:tabs>
          <w:tab w:val="num" w:pos="1440"/>
        </w:tabs>
        <w:ind w:left="1440" w:hanging="360"/>
      </w:pPr>
      <w:rPr>
        <w:rFonts w:ascii="Arial" w:hAnsi="Arial" w:hint="default"/>
      </w:rPr>
    </w:lvl>
    <w:lvl w:ilvl="2" w:tplc="6690012E" w:tentative="1">
      <w:start w:val="1"/>
      <w:numFmt w:val="bullet"/>
      <w:lvlText w:val="•"/>
      <w:lvlJc w:val="left"/>
      <w:pPr>
        <w:tabs>
          <w:tab w:val="num" w:pos="2160"/>
        </w:tabs>
        <w:ind w:left="2160" w:hanging="360"/>
      </w:pPr>
      <w:rPr>
        <w:rFonts w:ascii="Arial" w:hAnsi="Arial" w:hint="default"/>
      </w:rPr>
    </w:lvl>
    <w:lvl w:ilvl="3" w:tplc="B032EF20" w:tentative="1">
      <w:start w:val="1"/>
      <w:numFmt w:val="bullet"/>
      <w:lvlText w:val="•"/>
      <w:lvlJc w:val="left"/>
      <w:pPr>
        <w:tabs>
          <w:tab w:val="num" w:pos="2880"/>
        </w:tabs>
        <w:ind w:left="2880" w:hanging="360"/>
      </w:pPr>
      <w:rPr>
        <w:rFonts w:ascii="Arial" w:hAnsi="Arial" w:hint="default"/>
      </w:rPr>
    </w:lvl>
    <w:lvl w:ilvl="4" w:tplc="41B63398" w:tentative="1">
      <w:start w:val="1"/>
      <w:numFmt w:val="bullet"/>
      <w:lvlText w:val="•"/>
      <w:lvlJc w:val="left"/>
      <w:pPr>
        <w:tabs>
          <w:tab w:val="num" w:pos="3600"/>
        </w:tabs>
        <w:ind w:left="3600" w:hanging="360"/>
      </w:pPr>
      <w:rPr>
        <w:rFonts w:ascii="Arial" w:hAnsi="Arial" w:hint="default"/>
      </w:rPr>
    </w:lvl>
    <w:lvl w:ilvl="5" w:tplc="D1D45436" w:tentative="1">
      <w:start w:val="1"/>
      <w:numFmt w:val="bullet"/>
      <w:lvlText w:val="•"/>
      <w:lvlJc w:val="left"/>
      <w:pPr>
        <w:tabs>
          <w:tab w:val="num" w:pos="4320"/>
        </w:tabs>
        <w:ind w:left="4320" w:hanging="360"/>
      </w:pPr>
      <w:rPr>
        <w:rFonts w:ascii="Arial" w:hAnsi="Arial" w:hint="default"/>
      </w:rPr>
    </w:lvl>
    <w:lvl w:ilvl="6" w:tplc="07EEA6CA" w:tentative="1">
      <w:start w:val="1"/>
      <w:numFmt w:val="bullet"/>
      <w:lvlText w:val="•"/>
      <w:lvlJc w:val="left"/>
      <w:pPr>
        <w:tabs>
          <w:tab w:val="num" w:pos="5040"/>
        </w:tabs>
        <w:ind w:left="5040" w:hanging="360"/>
      </w:pPr>
      <w:rPr>
        <w:rFonts w:ascii="Arial" w:hAnsi="Arial" w:hint="default"/>
      </w:rPr>
    </w:lvl>
    <w:lvl w:ilvl="7" w:tplc="3A90F350" w:tentative="1">
      <w:start w:val="1"/>
      <w:numFmt w:val="bullet"/>
      <w:lvlText w:val="•"/>
      <w:lvlJc w:val="left"/>
      <w:pPr>
        <w:tabs>
          <w:tab w:val="num" w:pos="5760"/>
        </w:tabs>
        <w:ind w:left="5760" w:hanging="360"/>
      </w:pPr>
      <w:rPr>
        <w:rFonts w:ascii="Arial" w:hAnsi="Arial" w:hint="default"/>
      </w:rPr>
    </w:lvl>
    <w:lvl w:ilvl="8" w:tplc="FA00827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9420333"/>
    <w:multiLevelType w:val="hybridMultilevel"/>
    <w:tmpl w:val="B2A026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6A0C45"/>
    <w:multiLevelType w:val="hybridMultilevel"/>
    <w:tmpl w:val="B86A33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AF4A64"/>
    <w:multiLevelType w:val="hybridMultilevel"/>
    <w:tmpl w:val="4D2AA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A312243"/>
    <w:multiLevelType w:val="hybridMultilevel"/>
    <w:tmpl w:val="35B00D2C"/>
    <w:lvl w:ilvl="0" w:tplc="D16EED38">
      <w:start w:val="1"/>
      <w:numFmt w:val="lowerRoman"/>
      <w:pStyle w:val="SI-ElencoStyle1-noindent-ai-Level2"/>
      <w:lvlText w:val="(%1)"/>
      <w:lvlJc w:val="left"/>
      <w:pPr>
        <w:ind w:left="2498" w:hanging="108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27" w15:restartNumberingAfterBreak="0">
    <w:nsid w:val="6CC04DB7"/>
    <w:multiLevelType w:val="multilevel"/>
    <w:tmpl w:val="7F009A06"/>
    <w:styleLink w:val="Elencocorren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637E7C"/>
    <w:multiLevelType w:val="multilevel"/>
    <w:tmpl w:val="BAF84984"/>
    <w:styleLink w:val="StudioI-Numbering"/>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147EE1"/>
    <w:multiLevelType w:val="hybridMultilevel"/>
    <w:tmpl w:val="7F00944E"/>
    <w:lvl w:ilvl="0" w:tplc="E94A5A0A">
      <w:start w:val="1"/>
      <w:numFmt w:val="decimal"/>
      <w:pStyle w:val="SI-ScheduleAllegato"/>
      <w:lvlText w:val="Annex %1."/>
      <w:lvlJc w:val="center"/>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6266994"/>
    <w:multiLevelType w:val="hybridMultilevel"/>
    <w:tmpl w:val="5DD4EA2E"/>
    <w:lvl w:ilvl="0" w:tplc="8522FCCC">
      <w:start w:val="1"/>
      <w:numFmt w:val="lowerLetter"/>
      <w:pStyle w:val="SI-ElencoStyle1-noindent-ai-Level1"/>
      <w:lvlText w:val="(%1)"/>
      <w:lvlJc w:val="left"/>
      <w:pPr>
        <w:ind w:left="709" w:hanging="360"/>
      </w:pPr>
      <w:rPr>
        <w:rFonts w:ascii="Verdana" w:hAnsi="Verdana" w:hint="default"/>
        <w:b w:val="0"/>
        <w:i w:val="0"/>
        <w:sz w:val="21"/>
      </w:rPr>
    </w:lvl>
    <w:lvl w:ilvl="1" w:tplc="04180019" w:tentative="1">
      <w:start w:val="1"/>
      <w:numFmt w:val="lowerLetter"/>
      <w:lvlText w:val="%2."/>
      <w:lvlJc w:val="left"/>
      <w:pPr>
        <w:ind w:left="1429" w:hanging="360"/>
      </w:pPr>
    </w:lvl>
    <w:lvl w:ilvl="2" w:tplc="0418001B" w:tentative="1">
      <w:start w:val="1"/>
      <w:numFmt w:val="lowerRoman"/>
      <w:lvlText w:val="%3."/>
      <w:lvlJc w:val="right"/>
      <w:pPr>
        <w:ind w:left="2149" w:hanging="180"/>
      </w:pPr>
    </w:lvl>
    <w:lvl w:ilvl="3" w:tplc="0418000F" w:tentative="1">
      <w:start w:val="1"/>
      <w:numFmt w:val="decimal"/>
      <w:lvlText w:val="%4."/>
      <w:lvlJc w:val="left"/>
      <w:pPr>
        <w:ind w:left="2869" w:hanging="360"/>
      </w:pPr>
    </w:lvl>
    <w:lvl w:ilvl="4" w:tplc="04180019" w:tentative="1">
      <w:start w:val="1"/>
      <w:numFmt w:val="lowerLetter"/>
      <w:lvlText w:val="%5."/>
      <w:lvlJc w:val="left"/>
      <w:pPr>
        <w:ind w:left="3589" w:hanging="360"/>
      </w:pPr>
    </w:lvl>
    <w:lvl w:ilvl="5" w:tplc="0418001B" w:tentative="1">
      <w:start w:val="1"/>
      <w:numFmt w:val="lowerRoman"/>
      <w:lvlText w:val="%6."/>
      <w:lvlJc w:val="right"/>
      <w:pPr>
        <w:ind w:left="4309" w:hanging="180"/>
      </w:pPr>
    </w:lvl>
    <w:lvl w:ilvl="6" w:tplc="0418000F" w:tentative="1">
      <w:start w:val="1"/>
      <w:numFmt w:val="decimal"/>
      <w:lvlText w:val="%7."/>
      <w:lvlJc w:val="left"/>
      <w:pPr>
        <w:ind w:left="5029" w:hanging="360"/>
      </w:pPr>
    </w:lvl>
    <w:lvl w:ilvl="7" w:tplc="04180019" w:tentative="1">
      <w:start w:val="1"/>
      <w:numFmt w:val="lowerLetter"/>
      <w:lvlText w:val="%8."/>
      <w:lvlJc w:val="left"/>
      <w:pPr>
        <w:ind w:left="5749" w:hanging="360"/>
      </w:pPr>
    </w:lvl>
    <w:lvl w:ilvl="8" w:tplc="0418001B" w:tentative="1">
      <w:start w:val="1"/>
      <w:numFmt w:val="lowerRoman"/>
      <w:lvlText w:val="%9."/>
      <w:lvlJc w:val="right"/>
      <w:pPr>
        <w:ind w:left="6469" w:hanging="180"/>
      </w:pPr>
    </w:lvl>
  </w:abstractNum>
  <w:abstractNum w:abstractNumId="31" w15:restartNumberingAfterBreak="0">
    <w:nsid w:val="78E661B9"/>
    <w:multiLevelType w:val="hybridMultilevel"/>
    <w:tmpl w:val="79D0C2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C0B0865"/>
    <w:multiLevelType w:val="hybridMultilevel"/>
    <w:tmpl w:val="70E2FBD0"/>
    <w:lvl w:ilvl="0" w:tplc="770C675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C756C5C"/>
    <w:multiLevelType w:val="hybridMultilevel"/>
    <w:tmpl w:val="93D834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1208074">
    <w:abstractNumId w:val="1"/>
  </w:num>
  <w:num w:numId="2" w16cid:durableId="310715153">
    <w:abstractNumId w:val="1"/>
  </w:num>
  <w:num w:numId="3" w16cid:durableId="1041594558">
    <w:abstractNumId w:val="27"/>
  </w:num>
  <w:num w:numId="4" w16cid:durableId="1331103308">
    <w:abstractNumId w:val="28"/>
  </w:num>
  <w:num w:numId="5" w16cid:durableId="1376269963">
    <w:abstractNumId w:val="16"/>
  </w:num>
  <w:num w:numId="6" w16cid:durableId="1643073160">
    <w:abstractNumId w:val="30"/>
  </w:num>
  <w:num w:numId="7" w16cid:durableId="2001687175">
    <w:abstractNumId w:val="26"/>
  </w:num>
  <w:num w:numId="8" w16cid:durableId="1583100958">
    <w:abstractNumId w:val="4"/>
  </w:num>
  <w:num w:numId="9" w16cid:durableId="1253978532">
    <w:abstractNumId w:val="6"/>
  </w:num>
  <w:num w:numId="10" w16cid:durableId="1956517433">
    <w:abstractNumId w:val="29"/>
  </w:num>
  <w:num w:numId="11" w16cid:durableId="107508168">
    <w:abstractNumId w:val="8"/>
  </w:num>
  <w:num w:numId="12" w16cid:durableId="1262107922">
    <w:abstractNumId w:val="9"/>
  </w:num>
  <w:num w:numId="13" w16cid:durableId="1030763156">
    <w:abstractNumId w:val="2"/>
  </w:num>
  <w:num w:numId="14" w16cid:durableId="1615477993">
    <w:abstractNumId w:val="2"/>
    <w:lvlOverride w:ilvl="0">
      <w:startOverride w:val="1"/>
    </w:lvlOverride>
  </w:num>
  <w:num w:numId="15" w16cid:durableId="655962171">
    <w:abstractNumId w:val="16"/>
    <w:lvlOverride w:ilvl="0">
      <w:startOverride w:val="1"/>
    </w:lvlOverride>
  </w:num>
  <w:num w:numId="16" w16cid:durableId="989141951">
    <w:abstractNumId w:val="11"/>
  </w:num>
  <w:num w:numId="17" w16cid:durableId="1632325732">
    <w:abstractNumId w:val="24"/>
  </w:num>
  <w:num w:numId="18" w16cid:durableId="562788185">
    <w:abstractNumId w:val="21"/>
  </w:num>
  <w:num w:numId="19" w16cid:durableId="1115947654">
    <w:abstractNumId w:val="33"/>
  </w:num>
  <w:num w:numId="20" w16cid:durableId="1292785310">
    <w:abstractNumId w:val="17"/>
  </w:num>
  <w:num w:numId="21" w16cid:durableId="97795773">
    <w:abstractNumId w:val="3"/>
  </w:num>
  <w:num w:numId="22" w16cid:durableId="1388410216">
    <w:abstractNumId w:val="2"/>
  </w:num>
  <w:num w:numId="23" w16cid:durableId="698437941">
    <w:abstractNumId w:val="2"/>
  </w:num>
  <w:num w:numId="24" w16cid:durableId="882786008">
    <w:abstractNumId w:val="2"/>
  </w:num>
  <w:num w:numId="25" w16cid:durableId="1251083013">
    <w:abstractNumId w:val="2"/>
  </w:num>
  <w:num w:numId="26" w16cid:durableId="1835408912">
    <w:abstractNumId w:val="2"/>
  </w:num>
  <w:num w:numId="27" w16cid:durableId="2038238830">
    <w:abstractNumId w:val="13"/>
  </w:num>
  <w:num w:numId="28" w16cid:durableId="1600675197">
    <w:abstractNumId w:val="25"/>
  </w:num>
  <w:num w:numId="29" w16cid:durableId="286857325">
    <w:abstractNumId w:val="12"/>
  </w:num>
  <w:num w:numId="30" w16cid:durableId="1482192365">
    <w:abstractNumId w:val="20"/>
  </w:num>
  <w:num w:numId="31" w16cid:durableId="186329653">
    <w:abstractNumId w:val="0"/>
  </w:num>
  <w:num w:numId="32" w16cid:durableId="588462209">
    <w:abstractNumId w:val="23"/>
  </w:num>
  <w:num w:numId="33" w16cid:durableId="1277519462">
    <w:abstractNumId w:val="10"/>
  </w:num>
  <w:num w:numId="34" w16cid:durableId="15813444">
    <w:abstractNumId w:val="19"/>
  </w:num>
  <w:num w:numId="35" w16cid:durableId="733745020">
    <w:abstractNumId w:val="18"/>
  </w:num>
  <w:num w:numId="36" w16cid:durableId="1524367622">
    <w:abstractNumId w:val="31"/>
  </w:num>
  <w:num w:numId="37" w16cid:durableId="1326326540">
    <w:abstractNumId w:val="14"/>
  </w:num>
  <w:num w:numId="38" w16cid:durableId="1907720043">
    <w:abstractNumId w:val="5"/>
  </w:num>
  <w:num w:numId="39" w16cid:durableId="913471025">
    <w:abstractNumId w:val="32"/>
  </w:num>
  <w:num w:numId="40" w16cid:durableId="1618222600">
    <w:abstractNumId w:val="22"/>
  </w:num>
  <w:num w:numId="41" w16cid:durableId="510295793">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08"/>
  <w:hyphenationZone w:val="283"/>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ABF"/>
    <w:rsid w:val="00002EE8"/>
    <w:rsid w:val="000040F4"/>
    <w:rsid w:val="00011E40"/>
    <w:rsid w:val="00026D4D"/>
    <w:rsid w:val="0003130E"/>
    <w:rsid w:val="0004793A"/>
    <w:rsid w:val="00054DA8"/>
    <w:rsid w:val="00064412"/>
    <w:rsid w:val="00067625"/>
    <w:rsid w:val="00067AA8"/>
    <w:rsid w:val="0007042F"/>
    <w:rsid w:val="000715B3"/>
    <w:rsid w:val="000716B2"/>
    <w:rsid w:val="0007298A"/>
    <w:rsid w:val="00087927"/>
    <w:rsid w:val="000925D7"/>
    <w:rsid w:val="00092C5D"/>
    <w:rsid w:val="00096C0D"/>
    <w:rsid w:val="0009763F"/>
    <w:rsid w:val="000A0CEE"/>
    <w:rsid w:val="000A7237"/>
    <w:rsid w:val="000B119F"/>
    <w:rsid w:val="000B57ED"/>
    <w:rsid w:val="000B6910"/>
    <w:rsid w:val="000C2570"/>
    <w:rsid w:val="000C2BE6"/>
    <w:rsid w:val="000C34CF"/>
    <w:rsid w:val="000D4C20"/>
    <w:rsid w:val="000D5410"/>
    <w:rsid w:val="000D63FD"/>
    <w:rsid w:val="000E099E"/>
    <w:rsid w:val="000E7094"/>
    <w:rsid w:val="000F1E85"/>
    <w:rsid w:val="000F71E1"/>
    <w:rsid w:val="00101E9D"/>
    <w:rsid w:val="001109D7"/>
    <w:rsid w:val="00115C77"/>
    <w:rsid w:val="00123A47"/>
    <w:rsid w:val="00125DD3"/>
    <w:rsid w:val="00132C76"/>
    <w:rsid w:val="00137FF2"/>
    <w:rsid w:val="00140CFF"/>
    <w:rsid w:val="0014116D"/>
    <w:rsid w:val="00141337"/>
    <w:rsid w:val="00144116"/>
    <w:rsid w:val="001512BA"/>
    <w:rsid w:val="001542A5"/>
    <w:rsid w:val="001564BD"/>
    <w:rsid w:val="00162FC9"/>
    <w:rsid w:val="00164FEE"/>
    <w:rsid w:val="00166412"/>
    <w:rsid w:val="00167599"/>
    <w:rsid w:val="001746A2"/>
    <w:rsid w:val="0018312D"/>
    <w:rsid w:val="00184CAD"/>
    <w:rsid w:val="0018627F"/>
    <w:rsid w:val="001903DC"/>
    <w:rsid w:val="0019715B"/>
    <w:rsid w:val="001A5DAD"/>
    <w:rsid w:val="001B4D78"/>
    <w:rsid w:val="001C4AFB"/>
    <w:rsid w:val="001D1DE2"/>
    <w:rsid w:val="001E1E9C"/>
    <w:rsid w:val="001E290D"/>
    <w:rsid w:val="001E3C2D"/>
    <w:rsid w:val="001E469B"/>
    <w:rsid w:val="001E67A5"/>
    <w:rsid w:val="001F2496"/>
    <w:rsid w:val="00200638"/>
    <w:rsid w:val="002016CA"/>
    <w:rsid w:val="00203A8B"/>
    <w:rsid w:val="00203C16"/>
    <w:rsid w:val="0020469F"/>
    <w:rsid w:val="00205761"/>
    <w:rsid w:val="00224D98"/>
    <w:rsid w:val="0022670D"/>
    <w:rsid w:val="00241D10"/>
    <w:rsid w:val="00243E49"/>
    <w:rsid w:val="0026200A"/>
    <w:rsid w:val="00271BFE"/>
    <w:rsid w:val="002725A7"/>
    <w:rsid w:val="0027341F"/>
    <w:rsid w:val="00275385"/>
    <w:rsid w:val="0028063D"/>
    <w:rsid w:val="0028185D"/>
    <w:rsid w:val="00283085"/>
    <w:rsid w:val="00284C8C"/>
    <w:rsid w:val="002A07D1"/>
    <w:rsid w:val="002A764B"/>
    <w:rsid w:val="002C203F"/>
    <w:rsid w:val="002D15C7"/>
    <w:rsid w:val="002D4419"/>
    <w:rsid w:val="002D58C7"/>
    <w:rsid w:val="002D59B3"/>
    <w:rsid w:val="002E1ABF"/>
    <w:rsid w:val="002F161C"/>
    <w:rsid w:val="002F2E98"/>
    <w:rsid w:val="002F53DC"/>
    <w:rsid w:val="002F6DA5"/>
    <w:rsid w:val="002F726B"/>
    <w:rsid w:val="0030798B"/>
    <w:rsid w:val="003240A6"/>
    <w:rsid w:val="0032704E"/>
    <w:rsid w:val="00333F39"/>
    <w:rsid w:val="003477CE"/>
    <w:rsid w:val="00352079"/>
    <w:rsid w:val="00352AFB"/>
    <w:rsid w:val="00360CED"/>
    <w:rsid w:val="00372B27"/>
    <w:rsid w:val="00374DD2"/>
    <w:rsid w:val="003814CA"/>
    <w:rsid w:val="003849EC"/>
    <w:rsid w:val="00386EE0"/>
    <w:rsid w:val="003871F8"/>
    <w:rsid w:val="00391E42"/>
    <w:rsid w:val="003943A6"/>
    <w:rsid w:val="00397E24"/>
    <w:rsid w:val="003A01FB"/>
    <w:rsid w:val="003A20D4"/>
    <w:rsid w:val="003A59DF"/>
    <w:rsid w:val="003A72F7"/>
    <w:rsid w:val="003B04C9"/>
    <w:rsid w:val="003B17FD"/>
    <w:rsid w:val="003B2F7A"/>
    <w:rsid w:val="003B2FB0"/>
    <w:rsid w:val="003B3013"/>
    <w:rsid w:val="003B4227"/>
    <w:rsid w:val="003B4393"/>
    <w:rsid w:val="003D15FF"/>
    <w:rsid w:val="003D1E76"/>
    <w:rsid w:val="003D6BC8"/>
    <w:rsid w:val="003E09D5"/>
    <w:rsid w:val="003E2125"/>
    <w:rsid w:val="003E3424"/>
    <w:rsid w:val="003F1B02"/>
    <w:rsid w:val="003F61DE"/>
    <w:rsid w:val="003F753A"/>
    <w:rsid w:val="00400251"/>
    <w:rsid w:val="00412CA4"/>
    <w:rsid w:val="0041459C"/>
    <w:rsid w:val="00415684"/>
    <w:rsid w:val="004156FF"/>
    <w:rsid w:val="00417492"/>
    <w:rsid w:val="004212A7"/>
    <w:rsid w:val="004218F0"/>
    <w:rsid w:val="00441D63"/>
    <w:rsid w:val="00446F6F"/>
    <w:rsid w:val="00452E13"/>
    <w:rsid w:val="00452E8C"/>
    <w:rsid w:val="00453C22"/>
    <w:rsid w:val="00453F4F"/>
    <w:rsid w:val="00454A1D"/>
    <w:rsid w:val="0045742C"/>
    <w:rsid w:val="00460F7F"/>
    <w:rsid w:val="00464D65"/>
    <w:rsid w:val="0047445F"/>
    <w:rsid w:val="00475298"/>
    <w:rsid w:val="00483A30"/>
    <w:rsid w:val="00483C52"/>
    <w:rsid w:val="00484C01"/>
    <w:rsid w:val="004A7142"/>
    <w:rsid w:val="004C00E2"/>
    <w:rsid w:val="004C5B30"/>
    <w:rsid w:val="004D3462"/>
    <w:rsid w:val="004E3C27"/>
    <w:rsid w:val="004F3231"/>
    <w:rsid w:val="00500F49"/>
    <w:rsid w:val="0050499D"/>
    <w:rsid w:val="005053E6"/>
    <w:rsid w:val="00507BE4"/>
    <w:rsid w:val="00513D6E"/>
    <w:rsid w:val="00532A7A"/>
    <w:rsid w:val="00535E9E"/>
    <w:rsid w:val="005447D9"/>
    <w:rsid w:val="00547417"/>
    <w:rsid w:val="00553DFC"/>
    <w:rsid w:val="005716E3"/>
    <w:rsid w:val="00573DDD"/>
    <w:rsid w:val="00583BC3"/>
    <w:rsid w:val="00584DA2"/>
    <w:rsid w:val="00584E75"/>
    <w:rsid w:val="0058624D"/>
    <w:rsid w:val="00586740"/>
    <w:rsid w:val="005A025A"/>
    <w:rsid w:val="005A5FC1"/>
    <w:rsid w:val="005C1E64"/>
    <w:rsid w:val="005C2C89"/>
    <w:rsid w:val="005C4FB8"/>
    <w:rsid w:val="005C5F95"/>
    <w:rsid w:val="005D4AD2"/>
    <w:rsid w:val="005D6046"/>
    <w:rsid w:val="005E4E5E"/>
    <w:rsid w:val="005E5A75"/>
    <w:rsid w:val="005E6111"/>
    <w:rsid w:val="005E6866"/>
    <w:rsid w:val="005E7EE1"/>
    <w:rsid w:val="005F1239"/>
    <w:rsid w:val="005F32D1"/>
    <w:rsid w:val="005F70DA"/>
    <w:rsid w:val="005F7283"/>
    <w:rsid w:val="00601C44"/>
    <w:rsid w:val="00606402"/>
    <w:rsid w:val="00611C7D"/>
    <w:rsid w:val="006146DC"/>
    <w:rsid w:val="006151C2"/>
    <w:rsid w:val="00617594"/>
    <w:rsid w:val="00617ED9"/>
    <w:rsid w:val="00620833"/>
    <w:rsid w:val="0062402F"/>
    <w:rsid w:val="00624E73"/>
    <w:rsid w:val="006262C4"/>
    <w:rsid w:val="006342F9"/>
    <w:rsid w:val="00637484"/>
    <w:rsid w:val="006374DD"/>
    <w:rsid w:val="006427FE"/>
    <w:rsid w:val="00650352"/>
    <w:rsid w:val="00662916"/>
    <w:rsid w:val="0067087D"/>
    <w:rsid w:val="00681CDB"/>
    <w:rsid w:val="006865D5"/>
    <w:rsid w:val="00691EDA"/>
    <w:rsid w:val="00696DE4"/>
    <w:rsid w:val="006A2331"/>
    <w:rsid w:val="006A3537"/>
    <w:rsid w:val="006A63B2"/>
    <w:rsid w:val="006B1287"/>
    <w:rsid w:val="006B230F"/>
    <w:rsid w:val="006B2589"/>
    <w:rsid w:val="006C29A3"/>
    <w:rsid w:val="006E0460"/>
    <w:rsid w:val="006E0C98"/>
    <w:rsid w:val="006F08C1"/>
    <w:rsid w:val="006F4338"/>
    <w:rsid w:val="006F7CBB"/>
    <w:rsid w:val="006F7D56"/>
    <w:rsid w:val="0071482D"/>
    <w:rsid w:val="007272B4"/>
    <w:rsid w:val="007332F1"/>
    <w:rsid w:val="00740D79"/>
    <w:rsid w:val="0074688A"/>
    <w:rsid w:val="00752E18"/>
    <w:rsid w:val="00763262"/>
    <w:rsid w:val="007713B8"/>
    <w:rsid w:val="00773650"/>
    <w:rsid w:val="00781113"/>
    <w:rsid w:val="00781497"/>
    <w:rsid w:val="00782A0A"/>
    <w:rsid w:val="0078685A"/>
    <w:rsid w:val="007A0FC4"/>
    <w:rsid w:val="007A2887"/>
    <w:rsid w:val="007A3623"/>
    <w:rsid w:val="007A5509"/>
    <w:rsid w:val="007B70FA"/>
    <w:rsid w:val="007B77DC"/>
    <w:rsid w:val="007C1C50"/>
    <w:rsid w:val="007C2095"/>
    <w:rsid w:val="007C5973"/>
    <w:rsid w:val="007D636E"/>
    <w:rsid w:val="007D6393"/>
    <w:rsid w:val="007E28D3"/>
    <w:rsid w:val="007E3899"/>
    <w:rsid w:val="007E422B"/>
    <w:rsid w:val="007F3317"/>
    <w:rsid w:val="007F799A"/>
    <w:rsid w:val="008115B1"/>
    <w:rsid w:val="00825477"/>
    <w:rsid w:val="00830B0B"/>
    <w:rsid w:val="008338AE"/>
    <w:rsid w:val="00833D2B"/>
    <w:rsid w:val="00833DE4"/>
    <w:rsid w:val="00836D2E"/>
    <w:rsid w:val="0084516B"/>
    <w:rsid w:val="00846331"/>
    <w:rsid w:val="008503AA"/>
    <w:rsid w:val="0085154F"/>
    <w:rsid w:val="00861849"/>
    <w:rsid w:val="00871CB7"/>
    <w:rsid w:val="00873F6B"/>
    <w:rsid w:val="0088355E"/>
    <w:rsid w:val="008902EF"/>
    <w:rsid w:val="0089455B"/>
    <w:rsid w:val="00894923"/>
    <w:rsid w:val="008961E9"/>
    <w:rsid w:val="008A059C"/>
    <w:rsid w:val="008B3DD6"/>
    <w:rsid w:val="008C198C"/>
    <w:rsid w:val="008C20CD"/>
    <w:rsid w:val="008F6E26"/>
    <w:rsid w:val="0090037F"/>
    <w:rsid w:val="00922C84"/>
    <w:rsid w:val="00923D0E"/>
    <w:rsid w:val="00925CA0"/>
    <w:rsid w:val="00927AB8"/>
    <w:rsid w:val="0093312D"/>
    <w:rsid w:val="009367AF"/>
    <w:rsid w:val="00944AA9"/>
    <w:rsid w:val="00951191"/>
    <w:rsid w:val="00953014"/>
    <w:rsid w:val="00970AEC"/>
    <w:rsid w:val="009818C3"/>
    <w:rsid w:val="009829B9"/>
    <w:rsid w:val="00992347"/>
    <w:rsid w:val="0099645C"/>
    <w:rsid w:val="009A7952"/>
    <w:rsid w:val="009B5A86"/>
    <w:rsid w:val="009B7CEE"/>
    <w:rsid w:val="009C26B5"/>
    <w:rsid w:val="009C325B"/>
    <w:rsid w:val="009C4F8D"/>
    <w:rsid w:val="009D22E6"/>
    <w:rsid w:val="009D7AA9"/>
    <w:rsid w:val="009E15CB"/>
    <w:rsid w:val="009E1B55"/>
    <w:rsid w:val="009E46C2"/>
    <w:rsid w:val="009E6DD1"/>
    <w:rsid w:val="009F561B"/>
    <w:rsid w:val="00A0154A"/>
    <w:rsid w:val="00A06CE1"/>
    <w:rsid w:val="00A12C61"/>
    <w:rsid w:val="00A16EC7"/>
    <w:rsid w:val="00A20237"/>
    <w:rsid w:val="00A209B3"/>
    <w:rsid w:val="00A22163"/>
    <w:rsid w:val="00A23DAA"/>
    <w:rsid w:val="00A26D50"/>
    <w:rsid w:val="00A301E8"/>
    <w:rsid w:val="00A321F0"/>
    <w:rsid w:val="00A3324E"/>
    <w:rsid w:val="00A36F8F"/>
    <w:rsid w:val="00A37DB3"/>
    <w:rsid w:val="00A41311"/>
    <w:rsid w:val="00A47671"/>
    <w:rsid w:val="00A5118F"/>
    <w:rsid w:val="00A52C69"/>
    <w:rsid w:val="00A56186"/>
    <w:rsid w:val="00A655AE"/>
    <w:rsid w:val="00A72B02"/>
    <w:rsid w:val="00A81310"/>
    <w:rsid w:val="00A94875"/>
    <w:rsid w:val="00AA0776"/>
    <w:rsid w:val="00AA1895"/>
    <w:rsid w:val="00AA3EE1"/>
    <w:rsid w:val="00AA7A66"/>
    <w:rsid w:val="00AB2F2D"/>
    <w:rsid w:val="00AB785C"/>
    <w:rsid w:val="00AC4437"/>
    <w:rsid w:val="00AD0962"/>
    <w:rsid w:val="00AD2D85"/>
    <w:rsid w:val="00AD4DFE"/>
    <w:rsid w:val="00AE6802"/>
    <w:rsid w:val="00AF40F5"/>
    <w:rsid w:val="00B00306"/>
    <w:rsid w:val="00B045D2"/>
    <w:rsid w:val="00B13A28"/>
    <w:rsid w:val="00B14027"/>
    <w:rsid w:val="00B159CF"/>
    <w:rsid w:val="00B23A67"/>
    <w:rsid w:val="00B33FB3"/>
    <w:rsid w:val="00B401A3"/>
    <w:rsid w:val="00B407CB"/>
    <w:rsid w:val="00B430E4"/>
    <w:rsid w:val="00B43D34"/>
    <w:rsid w:val="00B50C74"/>
    <w:rsid w:val="00B54C6D"/>
    <w:rsid w:val="00B57888"/>
    <w:rsid w:val="00B65794"/>
    <w:rsid w:val="00B657D6"/>
    <w:rsid w:val="00B6580E"/>
    <w:rsid w:val="00B661DC"/>
    <w:rsid w:val="00B71762"/>
    <w:rsid w:val="00B76960"/>
    <w:rsid w:val="00B808EB"/>
    <w:rsid w:val="00B80C72"/>
    <w:rsid w:val="00B83E86"/>
    <w:rsid w:val="00B90A12"/>
    <w:rsid w:val="00B9198E"/>
    <w:rsid w:val="00BA249C"/>
    <w:rsid w:val="00BB2DB1"/>
    <w:rsid w:val="00BB6FAE"/>
    <w:rsid w:val="00BD7B8E"/>
    <w:rsid w:val="00BF1D17"/>
    <w:rsid w:val="00BF3D1A"/>
    <w:rsid w:val="00C039F3"/>
    <w:rsid w:val="00C06A13"/>
    <w:rsid w:val="00C11293"/>
    <w:rsid w:val="00C2530C"/>
    <w:rsid w:val="00C25C72"/>
    <w:rsid w:val="00C341BA"/>
    <w:rsid w:val="00C35BF2"/>
    <w:rsid w:val="00C41B68"/>
    <w:rsid w:val="00C457AB"/>
    <w:rsid w:val="00C52664"/>
    <w:rsid w:val="00C541D1"/>
    <w:rsid w:val="00C56A73"/>
    <w:rsid w:val="00C61295"/>
    <w:rsid w:val="00C61C7D"/>
    <w:rsid w:val="00C63223"/>
    <w:rsid w:val="00C64C5E"/>
    <w:rsid w:val="00C6613D"/>
    <w:rsid w:val="00C6781D"/>
    <w:rsid w:val="00C8584F"/>
    <w:rsid w:val="00C91646"/>
    <w:rsid w:val="00C97D19"/>
    <w:rsid w:val="00CA1BF8"/>
    <w:rsid w:val="00CA2C13"/>
    <w:rsid w:val="00CA5A34"/>
    <w:rsid w:val="00CB005E"/>
    <w:rsid w:val="00CB3443"/>
    <w:rsid w:val="00CB6A13"/>
    <w:rsid w:val="00CC4C5B"/>
    <w:rsid w:val="00CC4E46"/>
    <w:rsid w:val="00CD183E"/>
    <w:rsid w:val="00CD1C31"/>
    <w:rsid w:val="00CD344B"/>
    <w:rsid w:val="00CE0784"/>
    <w:rsid w:val="00CF319E"/>
    <w:rsid w:val="00D221F6"/>
    <w:rsid w:val="00D2267D"/>
    <w:rsid w:val="00D306D7"/>
    <w:rsid w:val="00D33229"/>
    <w:rsid w:val="00D33267"/>
    <w:rsid w:val="00D4110C"/>
    <w:rsid w:val="00D43CFA"/>
    <w:rsid w:val="00D5289A"/>
    <w:rsid w:val="00D542D4"/>
    <w:rsid w:val="00D67AD2"/>
    <w:rsid w:val="00D705DE"/>
    <w:rsid w:val="00D70CBF"/>
    <w:rsid w:val="00D72897"/>
    <w:rsid w:val="00D93F8C"/>
    <w:rsid w:val="00D95717"/>
    <w:rsid w:val="00D96FB1"/>
    <w:rsid w:val="00DA5046"/>
    <w:rsid w:val="00DB5741"/>
    <w:rsid w:val="00DC431A"/>
    <w:rsid w:val="00DC5E84"/>
    <w:rsid w:val="00DD315F"/>
    <w:rsid w:val="00DE6125"/>
    <w:rsid w:val="00DF4AB2"/>
    <w:rsid w:val="00DF4BD4"/>
    <w:rsid w:val="00DF57FA"/>
    <w:rsid w:val="00DF7E4F"/>
    <w:rsid w:val="00E00CF7"/>
    <w:rsid w:val="00E027D9"/>
    <w:rsid w:val="00E03078"/>
    <w:rsid w:val="00E04951"/>
    <w:rsid w:val="00E12B27"/>
    <w:rsid w:val="00E2283E"/>
    <w:rsid w:val="00E40B19"/>
    <w:rsid w:val="00E42D23"/>
    <w:rsid w:val="00E4588A"/>
    <w:rsid w:val="00E5429B"/>
    <w:rsid w:val="00E577C7"/>
    <w:rsid w:val="00E67809"/>
    <w:rsid w:val="00E711C7"/>
    <w:rsid w:val="00E7418E"/>
    <w:rsid w:val="00E76742"/>
    <w:rsid w:val="00E81141"/>
    <w:rsid w:val="00E83796"/>
    <w:rsid w:val="00E83AF2"/>
    <w:rsid w:val="00E86104"/>
    <w:rsid w:val="00E90503"/>
    <w:rsid w:val="00E976DA"/>
    <w:rsid w:val="00E97AB5"/>
    <w:rsid w:val="00EA12EC"/>
    <w:rsid w:val="00EA2468"/>
    <w:rsid w:val="00EA3261"/>
    <w:rsid w:val="00EA5B97"/>
    <w:rsid w:val="00EB124A"/>
    <w:rsid w:val="00EB6A5F"/>
    <w:rsid w:val="00EB7CE4"/>
    <w:rsid w:val="00EC109C"/>
    <w:rsid w:val="00EC1755"/>
    <w:rsid w:val="00EC28AA"/>
    <w:rsid w:val="00EC3284"/>
    <w:rsid w:val="00EC37D7"/>
    <w:rsid w:val="00EC69B1"/>
    <w:rsid w:val="00ED5C14"/>
    <w:rsid w:val="00EE2AE1"/>
    <w:rsid w:val="00EE493A"/>
    <w:rsid w:val="00EE4D7D"/>
    <w:rsid w:val="00EF3A51"/>
    <w:rsid w:val="00EF3F7F"/>
    <w:rsid w:val="00EF4F9C"/>
    <w:rsid w:val="00EF6177"/>
    <w:rsid w:val="00EF70ED"/>
    <w:rsid w:val="00F0165F"/>
    <w:rsid w:val="00F03394"/>
    <w:rsid w:val="00F1469E"/>
    <w:rsid w:val="00F149AE"/>
    <w:rsid w:val="00F14C74"/>
    <w:rsid w:val="00F16AF2"/>
    <w:rsid w:val="00F319D3"/>
    <w:rsid w:val="00F31F5E"/>
    <w:rsid w:val="00F34D63"/>
    <w:rsid w:val="00F35C8B"/>
    <w:rsid w:val="00F524A5"/>
    <w:rsid w:val="00F54028"/>
    <w:rsid w:val="00F5424A"/>
    <w:rsid w:val="00F54DBE"/>
    <w:rsid w:val="00F65A35"/>
    <w:rsid w:val="00F716B6"/>
    <w:rsid w:val="00F74618"/>
    <w:rsid w:val="00F76D4A"/>
    <w:rsid w:val="00F770F7"/>
    <w:rsid w:val="00F85BBF"/>
    <w:rsid w:val="00F92E68"/>
    <w:rsid w:val="00F94924"/>
    <w:rsid w:val="00FA2E74"/>
    <w:rsid w:val="00FB2240"/>
    <w:rsid w:val="00FB279D"/>
    <w:rsid w:val="00FE0224"/>
    <w:rsid w:val="00FE256C"/>
    <w:rsid w:val="00FE4E63"/>
    <w:rsid w:val="00FF522B"/>
    <w:rsid w:val="00FF6B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9C28A"/>
  <w15:chartTrackingRefBased/>
  <w15:docId w15:val="{1132ACCE-3305-4643-A982-1AEE9CD4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Corpo CS)"/>
        <w:kern w:val="2"/>
        <w:lang w:val="it-IT"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uiPriority="39" w:qFormat="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qFormat="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e">
    <w:name w:val="Normal"/>
    <w:rsid w:val="007C5973"/>
    <w:pPr>
      <w:spacing w:before="240" w:after="240" w:line="276" w:lineRule="auto"/>
      <w:jc w:val="both"/>
    </w:pPr>
    <w:rPr>
      <w:rFonts w:ascii="Verdana" w:hAnsi="Verdana"/>
    </w:rPr>
  </w:style>
  <w:style w:type="paragraph" w:styleId="Titolo1">
    <w:name w:val="heading 1"/>
    <w:basedOn w:val="Normale"/>
    <w:next w:val="Normale"/>
    <w:link w:val="Titolo1Carattere"/>
    <w:uiPriority w:val="9"/>
    <w:semiHidden/>
    <w:rsid w:val="00AB785C"/>
    <w:pPr>
      <w:numPr>
        <w:numId w:val="2"/>
      </w:numPr>
      <w:autoSpaceDE w:val="0"/>
      <w:autoSpaceDN w:val="0"/>
      <w:adjustRightInd w:val="0"/>
      <w:spacing w:beforeLines="60" w:before="60" w:afterLines="60" w:after="60"/>
      <w:outlineLvl w:val="0"/>
    </w:pPr>
    <w:rPr>
      <w:rFonts w:eastAsiaTheme="minorEastAsia" w:cs="Arial"/>
      <w:b/>
      <w:bCs/>
      <w:smallCaps/>
      <w:color w:val="002E5D"/>
      <w:kern w:val="0"/>
      <w:lang w:eastAsia="it-IT"/>
      <w14:ligatures w14:val="none"/>
    </w:rPr>
  </w:style>
  <w:style w:type="paragraph" w:styleId="Titolo2">
    <w:name w:val="heading 2"/>
    <w:basedOn w:val="Normale"/>
    <w:next w:val="Normale"/>
    <w:link w:val="Titolo2Carattere"/>
    <w:uiPriority w:val="9"/>
    <w:semiHidden/>
    <w:rsid w:val="00AB785C"/>
    <w:pPr>
      <w:numPr>
        <w:ilvl w:val="1"/>
        <w:numId w:val="1"/>
      </w:numPr>
      <w:autoSpaceDE w:val="0"/>
      <w:autoSpaceDN w:val="0"/>
      <w:adjustRightInd w:val="0"/>
      <w:spacing w:beforeLines="60" w:before="60" w:afterLines="60" w:after="60" w:line="259" w:lineRule="auto"/>
      <w:ind w:left="357" w:hanging="357"/>
      <w:outlineLvl w:val="1"/>
    </w:pPr>
    <w:rPr>
      <w:rFonts w:eastAsiaTheme="minorEastAsia" w:cs="Arial"/>
      <w:b/>
      <w:bCs/>
      <w:color w:val="002E5D"/>
      <w:kern w:val="0"/>
      <w:shd w:val="clear" w:color="auto" w:fill="FFFFFF"/>
      <w:lang w:val="en-US" w:eastAsia="it-IT"/>
      <w14:ligatures w14:val="none"/>
    </w:rPr>
  </w:style>
  <w:style w:type="paragraph" w:styleId="Titolo3">
    <w:name w:val="heading 3"/>
    <w:basedOn w:val="Normale"/>
    <w:next w:val="Normale"/>
    <w:link w:val="Titolo3Carattere"/>
    <w:uiPriority w:val="9"/>
    <w:semiHidden/>
    <w:rsid w:val="000925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rsid w:val="000925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qFormat/>
    <w:rsid w:val="000925D7"/>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qFormat/>
    <w:rsid w:val="000925D7"/>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qFormat/>
    <w:rsid w:val="000925D7"/>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qFormat/>
    <w:rsid w:val="000925D7"/>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qFormat/>
    <w:rsid w:val="000925D7"/>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semiHidden/>
    <w:rsid w:val="006E0460"/>
    <w:rPr>
      <w:rFonts w:ascii="Verdana" w:eastAsiaTheme="minorEastAsia" w:hAnsi="Verdana" w:cs="Arial"/>
      <w:b/>
      <w:bCs/>
      <w:smallCaps/>
      <w:color w:val="002E5D"/>
      <w:kern w:val="0"/>
      <w:lang w:eastAsia="it-IT"/>
      <w14:ligatures w14:val="none"/>
    </w:rPr>
  </w:style>
  <w:style w:type="character" w:customStyle="1" w:styleId="Titolo2Carattere">
    <w:name w:val="Titolo 2 Carattere"/>
    <w:basedOn w:val="Carpredefinitoparagrafo"/>
    <w:link w:val="Titolo2"/>
    <w:uiPriority w:val="9"/>
    <w:semiHidden/>
    <w:rsid w:val="006E0460"/>
    <w:rPr>
      <w:rFonts w:ascii="Verdana" w:eastAsiaTheme="minorEastAsia" w:hAnsi="Verdana" w:cs="Arial"/>
      <w:b/>
      <w:bCs/>
      <w:color w:val="002E5D"/>
      <w:kern w:val="0"/>
      <w:lang w:val="en-US" w:eastAsia="it-IT"/>
      <w14:ligatures w14:val="none"/>
    </w:rPr>
  </w:style>
  <w:style w:type="numbering" w:customStyle="1" w:styleId="Elencocorrente1">
    <w:name w:val="Elenco corrente1"/>
    <w:uiPriority w:val="99"/>
    <w:rsid w:val="007272B4"/>
    <w:pPr>
      <w:numPr>
        <w:numId w:val="3"/>
      </w:numPr>
    </w:pPr>
  </w:style>
  <w:style w:type="character" w:customStyle="1" w:styleId="Titolo3Carattere">
    <w:name w:val="Titolo 3 Carattere"/>
    <w:basedOn w:val="Carpredefinitoparagrafo"/>
    <w:link w:val="Titolo3"/>
    <w:uiPriority w:val="9"/>
    <w:semiHidden/>
    <w:rsid w:val="006E0460"/>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0460"/>
    <w:rPr>
      <w:rFonts w:asciiTheme="minorHAnsi" w:eastAsiaTheme="majorEastAsia" w:hAnsiTheme="minorHAnsi" w:cstheme="majorBidi"/>
      <w:i/>
      <w:iCs/>
      <w:color w:val="0F4761" w:themeColor="accent1" w:themeShade="BF"/>
      <w:sz w:val="21"/>
      <w:szCs w:val="21"/>
    </w:rPr>
  </w:style>
  <w:style w:type="character" w:customStyle="1" w:styleId="Titolo5Carattere">
    <w:name w:val="Titolo 5 Carattere"/>
    <w:basedOn w:val="Carpredefinitoparagrafo"/>
    <w:link w:val="Titolo5"/>
    <w:uiPriority w:val="9"/>
    <w:semiHidden/>
    <w:rsid w:val="006E0460"/>
    <w:rPr>
      <w:rFonts w:asciiTheme="minorHAnsi" w:eastAsiaTheme="majorEastAsia" w:hAnsiTheme="minorHAnsi" w:cstheme="majorBidi"/>
      <w:color w:val="0F4761" w:themeColor="accent1" w:themeShade="BF"/>
      <w:sz w:val="21"/>
      <w:szCs w:val="21"/>
    </w:rPr>
  </w:style>
  <w:style w:type="character" w:customStyle="1" w:styleId="Titolo6Carattere">
    <w:name w:val="Titolo 6 Carattere"/>
    <w:basedOn w:val="Carpredefinitoparagrafo"/>
    <w:link w:val="Titolo6"/>
    <w:uiPriority w:val="9"/>
    <w:semiHidden/>
    <w:rsid w:val="006E0460"/>
    <w:rPr>
      <w:rFonts w:asciiTheme="minorHAnsi" w:eastAsiaTheme="majorEastAsia" w:hAnsiTheme="minorHAnsi" w:cstheme="majorBidi"/>
      <w:i/>
      <w:iCs/>
      <w:color w:val="595959" w:themeColor="text1" w:themeTint="A6"/>
      <w:sz w:val="21"/>
      <w:szCs w:val="21"/>
    </w:rPr>
  </w:style>
  <w:style w:type="character" w:customStyle="1" w:styleId="Titolo7Carattere">
    <w:name w:val="Titolo 7 Carattere"/>
    <w:basedOn w:val="Carpredefinitoparagrafo"/>
    <w:link w:val="Titolo7"/>
    <w:uiPriority w:val="9"/>
    <w:semiHidden/>
    <w:rsid w:val="006E0460"/>
    <w:rPr>
      <w:rFonts w:asciiTheme="minorHAnsi" w:eastAsiaTheme="majorEastAsia" w:hAnsiTheme="minorHAnsi" w:cstheme="majorBidi"/>
      <w:color w:val="595959" w:themeColor="text1" w:themeTint="A6"/>
      <w:sz w:val="21"/>
      <w:szCs w:val="21"/>
    </w:rPr>
  </w:style>
  <w:style w:type="character" w:customStyle="1" w:styleId="Titolo8Carattere">
    <w:name w:val="Titolo 8 Carattere"/>
    <w:basedOn w:val="Carpredefinitoparagrafo"/>
    <w:link w:val="Titolo8"/>
    <w:uiPriority w:val="9"/>
    <w:semiHidden/>
    <w:rsid w:val="006E0460"/>
    <w:rPr>
      <w:rFonts w:asciiTheme="minorHAnsi" w:eastAsiaTheme="majorEastAsia" w:hAnsiTheme="minorHAnsi" w:cstheme="majorBidi"/>
      <w:i/>
      <w:iCs/>
      <w:color w:val="272727" w:themeColor="text1" w:themeTint="D8"/>
      <w:sz w:val="21"/>
      <w:szCs w:val="21"/>
    </w:rPr>
  </w:style>
  <w:style w:type="character" w:customStyle="1" w:styleId="Titolo9Carattere">
    <w:name w:val="Titolo 9 Carattere"/>
    <w:basedOn w:val="Carpredefinitoparagrafo"/>
    <w:link w:val="Titolo9"/>
    <w:uiPriority w:val="9"/>
    <w:semiHidden/>
    <w:rsid w:val="006E0460"/>
    <w:rPr>
      <w:rFonts w:asciiTheme="minorHAnsi" w:eastAsiaTheme="majorEastAsia" w:hAnsiTheme="minorHAnsi" w:cstheme="majorBidi"/>
      <w:color w:val="272727" w:themeColor="text1" w:themeTint="D8"/>
      <w:sz w:val="21"/>
      <w:szCs w:val="21"/>
    </w:rPr>
  </w:style>
  <w:style w:type="character" w:styleId="Numeropagina">
    <w:name w:val="page number"/>
    <w:basedOn w:val="Carpredefinitoparagrafo"/>
    <w:uiPriority w:val="99"/>
    <w:semiHidden/>
    <w:rsid w:val="000925D7"/>
  </w:style>
  <w:style w:type="character" w:styleId="Rimandonotaapidipagina">
    <w:name w:val="footnote reference"/>
    <w:basedOn w:val="Carpredefinitoparagrafo"/>
    <w:uiPriority w:val="99"/>
    <w:semiHidden/>
    <w:rsid w:val="00A36F8F"/>
    <w:rPr>
      <w:vertAlign w:val="superscript"/>
    </w:rPr>
  </w:style>
  <w:style w:type="table" w:styleId="Grigliatabella">
    <w:name w:val="Table Grid"/>
    <w:basedOn w:val="Tabellanormale"/>
    <w:uiPriority w:val="39"/>
    <w:rsid w:val="00224D98"/>
    <w:pPr>
      <w:spacing w:after="160" w:line="259"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qFormat/>
    <w:rsid w:val="003A72F7"/>
  </w:style>
  <w:style w:type="character" w:customStyle="1" w:styleId="TestonotaapidipaginaCarattere">
    <w:name w:val="Testo nota a piè di pagina Carattere"/>
    <w:basedOn w:val="Carpredefinitoparagrafo"/>
    <w:link w:val="Testonotaapidipagina"/>
    <w:uiPriority w:val="99"/>
    <w:semiHidden/>
    <w:rsid w:val="006E0460"/>
    <w:rPr>
      <w:rFonts w:ascii="Verdana" w:hAnsi="Verdana"/>
      <w:sz w:val="21"/>
      <w:szCs w:val="20"/>
    </w:rPr>
  </w:style>
  <w:style w:type="numbering" w:customStyle="1" w:styleId="StudioI-Numbering">
    <w:name w:val="Studio I. - Numbering"/>
    <w:uiPriority w:val="99"/>
    <w:rsid w:val="003A72F7"/>
    <w:pPr>
      <w:numPr>
        <w:numId w:val="4"/>
      </w:numPr>
    </w:pPr>
  </w:style>
  <w:style w:type="table" w:styleId="Tabellagriglia4-colore2">
    <w:name w:val="Grid Table 4 Accent 2"/>
    <w:aliases w:val="Studio I. - Tabella"/>
    <w:basedOn w:val="Tabellanormale"/>
    <w:uiPriority w:val="49"/>
    <w:rsid w:val="00092C5D"/>
    <w:pPr>
      <w:spacing w:before="120" w:after="120"/>
    </w:pPr>
    <w:rPr>
      <w:rFonts w:ascii="Verdana" w:hAnsi="Verdana" w:cs="Times New Roman"/>
      <w:iCs/>
      <w:kern w:val="0"/>
      <w:sz w:val="21"/>
      <w:szCs w:val="15"/>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pPr>
        <w:wordWrap/>
        <w:ind w:leftChars="0" w:left="170" w:firstLineChars="0" w:firstLine="0"/>
        <w:jc w:val="center"/>
      </w:pPr>
      <w:rPr>
        <w:rFonts w:ascii="Verdana" w:hAnsi="Verdana"/>
        <w:b/>
        <w:bCs/>
        <w:caps/>
        <w:smallCaps w:val="0"/>
        <w:vanish w:val="0"/>
        <w:color w:val="FFFFFF" w:themeColor="background1"/>
        <w:sz w:val="20"/>
      </w:rPr>
      <w:tblPr/>
      <w:tcPr>
        <w:shd w:val="clear" w:color="auto" w:fill="AE8B63"/>
      </w:tcPr>
    </w:tblStylePr>
    <w:tblStylePr w:type="lastRow">
      <w:rPr>
        <w:b/>
        <w:bCs/>
      </w:rPr>
      <w:tblPr/>
      <w:tcPr>
        <w:tcBorders>
          <w:top w:val="double" w:sz="4" w:space="0" w:color="E97132" w:themeColor="accent2"/>
        </w:tcBorders>
      </w:tcPr>
    </w:tblStylePr>
    <w:tblStylePr w:type="firstCol">
      <w:pPr>
        <w:wordWrap/>
        <w:ind w:leftChars="0" w:left="170"/>
        <w:jc w:val="left"/>
      </w:pPr>
      <w:rPr>
        <w:rFonts w:ascii="Verdana" w:hAnsi="Verdana"/>
        <w:b w:val="0"/>
        <w:bCs/>
        <w:sz w:val="21"/>
      </w:rPr>
    </w:tblStylePr>
    <w:tblStylePr w:type="lastCol">
      <w:rPr>
        <w:b/>
        <w:bCs/>
      </w:rPr>
    </w:tblStylePr>
    <w:tblStylePr w:type="band1Vert">
      <w:tblPr/>
      <w:tcPr>
        <w:shd w:val="clear" w:color="auto" w:fill="FAE2D5" w:themeFill="accent2" w:themeFillTint="33"/>
      </w:tcPr>
    </w:tblStylePr>
    <w:tblStylePr w:type="band1Horz">
      <w:rPr>
        <w:rFonts w:ascii="Verdana" w:hAnsi="Verdana"/>
        <w:sz w:val="20"/>
      </w:rPr>
      <w:tblPr/>
      <w:tcPr>
        <w:shd w:val="clear" w:color="auto" w:fill="FFFFFF" w:themeFill="background1"/>
      </w:tcPr>
    </w:tblStylePr>
    <w:tblStylePr w:type="band2Horz">
      <w:tblPr/>
      <w:tcPr>
        <w:shd w:val="clear" w:color="auto" w:fill="D6C6B1"/>
      </w:tcPr>
    </w:tblStylePr>
  </w:style>
  <w:style w:type="character" w:styleId="Menzionenonrisolta">
    <w:name w:val="Unresolved Mention"/>
    <w:basedOn w:val="Carpredefinitoparagrafo"/>
    <w:uiPriority w:val="99"/>
    <w:semiHidden/>
    <w:rsid w:val="00AA0776"/>
    <w:rPr>
      <w:color w:val="605E5C"/>
      <w:shd w:val="clear" w:color="auto" w:fill="E1DFDD"/>
    </w:rPr>
  </w:style>
  <w:style w:type="table" w:styleId="Tabellagriglia4-colore6">
    <w:name w:val="Grid Table 4 Accent 6"/>
    <w:basedOn w:val="Tabellanormale"/>
    <w:uiPriority w:val="49"/>
    <w:rsid w:val="00092C5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SI-Corpo">
    <w:name w:val="SI - Corpo"/>
    <w:qFormat/>
    <w:rsid w:val="00C97D19"/>
    <w:pPr>
      <w:spacing w:before="120" w:after="120"/>
      <w:ind w:left="720"/>
      <w:jc w:val="both"/>
    </w:pPr>
    <w:rPr>
      <w:rFonts w:ascii="Verdana" w:eastAsiaTheme="minorEastAsia" w:hAnsi="Verdana" w:cs="Arial"/>
      <w:kern w:val="0"/>
      <w:sz w:val="21"/>
      <w:lang w:val="en-GB"/>
      <w14:ligatures w14:val="none"/>
    </w:rPr>
  </w:style>
  <w:style w:type="paragraph" w:customStyle="1" w:styleId="SI-ElencoStyle1-noindent-ai-Level1">
    <w:name w:val="SI - Elenco Style 1 - no indent - (a)/(i)/- Level 1"/>
    <w:rsid w:val="003E3424"/>
    <w:pPr>
      <w:numPr>
        <w:numId w:val="6"/>
      </w:numPr>
      <w:spacing w:before="120" w:after="120"/>
      <w:ind w:left="720" w:hanging="720"/>
      <w:jc w:val="both"/>
    </w:pPr>
    <w:rPr>
      <w:rFonts w:ascii="Verdana" w:eastAsia="Times New Roman" w:hAnsi="Verdana" w:cs="Open Sans"/>
      <w:bCs/>
      <w:color w:val="000000"/>
      <w:kern w:val="0"/>
      <w:sz w:val="21"/>
      <w:szCs w:val="21"/>
      <w:lang w:val="en-US"/>
      <w14:ligatures w14:val="none"/>
    </w:rPr>
  </w:style>
  <w:style w:type="paragraph" w:customStyle="1" w:styleId="SI-ElencoStyle1-noindent-ai-Level2">
    <w:name w:val="SI - Elenco Style 1 - no indent - (a)/(i)/- Level 2"/>
    <w:rsid w:val="003E3424"/>
    <w:pPr>
      <w:numPr>
        <w:numId w:val="7"/>
      </w:numPr>
      <w:spacing w:before="120" w:after="120"/>
      <w:ind w:left="720" w:hanging="720"/>
      <w:jc w:val="both"/>
    </w:pPr>
    <w:rPr>
      <w:rFonts w:ascii="Verdana" w:eastAsia="Times New Roman" w:hAnsi="Verdana" w:cs="Open Sans"/>
      <w:bCs/>
      <w:color w:val="000000"/>
      <w:kern w:val="0"/>
      <w:sz w:val="21"/>
      <w:szCs w:val="21"/>
      <w14:ligatures w14:val="none"/>
    </w:rPr>
  </w:style>
  <w:style w:type="paragraph" w:customStyle="1" w:styleId="SI-ElencoStyle1-noindent-ai-Level3">
    <w:name w:val="SI - Elenco Style 1 - no indent - (a)/(i)/- Level 3"/>
    <w:basedOn w:val="SI-Corpo"/>
    <w:rsid w:val="003A01FB"/>
    <w:pPr>
      <w:numPr>
        <w:numId w:val="8"/>
      </w:numPr>
      <w:ind w:left="720" w:hanging="720"/>
    </w:pPr>
  </w:style>
  <w:style w:type="paragraph" w:customStyle="1" w:styleId="SI-ElencoStyle2-conindent-ai-Level1">
    <w:name w:val="SI - Elenco Style 2 - con indent - (a)/(i)/- Level 1"/>
    <w:qFormat/>
    <w:rsid w:val="003E3424"/>
    <w:pPr>
      <w:numPr>
        <w:ilvl w:val="3"/>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2-conindent-ai-Level2">
    <w:name w:val="SI - Elenco Style 2 - con indent - (a)/(i)/- Level 2"/>
    <w:qFormat/>
    <w:rsid w:val="003E3424"/>
    <w:pPr>
      <w:numPr>
        <w:ilvl w:val="4"/>
        <w:numId w:val="11"/>
      </w:numPr>
      <w:spacing w:before="120" w:after="120"/>
      <w:jc w:val="both"/>
      <w:outlineLvl w:val="1"/>
    </w:pPr>
    <w:rPr>
      <w:rFonts w:ascii="Verdana" w:eastAsia="Times New Roman" w:hAnsi="Verdana" w:cs="Open Sans"/>
      <w:bCs/>
      <w:color w:val="000000"/>
      <w:kern w:val="0"/>
      <w:sz w:val="21"/>
      <w:szCs w:val="21"/>
      <w:lang w:val="en-US"/>
      <w14:ligatures w14:val="none"/>
    </w:rPr>
  </w:style>
  <w:style w:type="paragraph" w:customStyle="1" w:styleId="SI-ElencoStyle2-conindent-ai-Level3">
    <w:name w:val="SI - Elenco Style 2 - con indent - (a)/(i)/- Level 3"/>
    <w:qFormat/>
    <w:rsid w:val="003E3424"/>
    <w:pPr>
      <w:numPr>
        <w:ilvl w:val="5"/>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1">
    <w:name w:val="SI - Elenco Style 3 - con indent - (i)/(a)/- Level 1"/>
    <w:qFormat/>
    <w:rsid w:val="003E3424"/>
    <w:pPr>
      <w:numPr>
        <w:ilvl w:val="6"/>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2">
    <w:name w:val="SI - Elenco Style 3 - con indent - (i)/(a)/- Level 2"/>
    <w:qFormat/>
    <w:rsid w:val="003E3424"/>
    <w:pPr>
      <w:numPr>
        <w:ilvl w:val="7"/>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3">
    <w:name w:val="SI - Elenco Style 3 - con indent - (i)/(a)/- Level 3"/>
    <w:basedOn w:val="SI-ElencoStyle2-conindent-ai-Level3"/>
    <w:qFormat/>
    <w:rsid w:val="003E3424"/>
  </w:style>
  <w:style w:type="paragraph" w:styleId="Intestazione">
    <w:name w:val="header"/>
    <w:basedOn w:val="Normale"/>
    <w:link w:val="IntestazioneCarattere"/>
    <w:uiPriority w:val="99"/>
    <w:semiHidden/>
    <w:rsid w:val="003B2F7A"/>
    <w:pPr>
      <w:tabs>
        <w:tab w:val="center" w:pos="4819"/>
        <w:tab w:val="right" w:pos="9638"/>
      </w:tabs>
      <w:spacing w:before="0" w:after="0" w:line="240" w:lineRule="auto"/>
    </w:pPr>
  </w:style>
  <w:style w:type="paragraph" w:customStyle="1" w:styleId="SI-Notaapidipagina">
    <w:name w:val="SI - Nota a piè di pagina"/>
    <w:basedOn w:val="Testonotaapidipagina"/>
    <w:rsid w:val="003F61DE"/>
    <w:pPr>
      <w:widowControl w:val="0"/>
      <w:autoSpaceDE w:val="0"/>
      <w:autoSpaceDN w:val="0"/>
      <w:adjustRightInd w:val="0"/>
    </w:pPr>
    <w:rPr>
      <w:rFonts w:eastAsiaTheme="minorEastAsia" w:cs="Arial"/>
      <w:i/>
      <w:kern w:val="0"/>
      <w:sz w:val="16"/>
      <w:szCs w:val="16"/>
      <w14:ligatures w14:val="none"/>
    </w:rPr>
  </w:style>
  <w:style w:type="paragraph" w:customStyle="1" w:styleId="SI-ElencoNumeri">
    <w:name w:val="SI - Elenco Numeri"/>
    <w:basedOn w:val="Normale"/>
    <w:rsid w:val="000B6910"/>
    <w:pPr>
      <w:widowControl w:val="0"/>
      <w:numPr>
        <w:numId w:val="5"/>
      </w:numPr>
      <w:autoSpaceDE w:val="0"/>
      <w:autoSpaceDN w:val="0"/>
      <w:adjustRightInd w:val="0"/>
      <w:ind w:left="0" w:firstLine="0"/>
    </w:pPr>
    <w:rPr>
      <w:rFonts w:eastAsiaTheme="minorEastAsia" w:cs="Arial"/>
      <w:b/>
      <w:kern w:val="0"/>
      <w:lang w:val="en-US"/>
      <w14:ligatures w14:val="none"/>
    </w:rPr>
  </w:style>
  <w:style w:type="paragraph" w:customStyle="1" w:styleId="SI-ElencoLettere">
    <w:name w:val="SI - Elenco Lettere"/>
    <w:basedOn w:val="Normale"/>
    <w:rsid w:val="005C4FB8"/>
    <w:pPr>
      <w:widowControl w:val="0"/>
      <w:numPr>
        <w:numId w:val="9"/>
      </w:numPr>
      <w:autoSpaceDE w:val="0"/>
      <w:autoSpaceDN w:val="0"/>
      <w:adjustRightInd w:val="0"/>
      <w:ind w:left="0" w:firstLine="0"/>
    </w:pPr>
    <w:rPr>
      <w:rFonts w:eastAsiaTheme="minorEastAsia" w:cs="Arial"/>
      <w:b/>
      <w:kern w:val="0"/>
      <w14:ligatures w14:val="none"/>
    </w:rPr>
  </w:style>
  <w:style w:type="paragraph" w:customStyle="1" w:styleId="SI-Titolo-1Level1">
    <w:name w:val="SI - Titolo - 1. Level 1"/>
    <w:basedOn w:val="Normale"/>
    <w:next w:val="Normale"/>
    <w:link w:val="SI-Titolo-1Level1Carattere"/>
    <w:rsid w:val="006262C4"/>
    <w:pPr>
      <w:keepNext/>
      <w:spacing w:before="360"/>
    </w:pPr>
    <w:rPr>
      <w:b/>
      <w:bCs/>
      <w:color w:val="AE8C63"/>
      <w:sz w:val="32"/>
      <w:szCs w:val="32"/>
    </w:rPr>
  </w:style>
  <w:style w:type="character" w:customStyle="1" w:styleId="SI-Titolo-1Level1Carattere">
    <w:name w:val="SI - Titolo - 1. Level 1 Carattere"/>
    <w:basedOn w:val="Carpredefinitoparagrafo"/>
    <w:link w:val="SI-Titolo-1Level1"/>
    <w:rsid w:val="006262C4"/>
    <w:rPr>
      <w:rFonts w:ascii="Verdana" w:hAnsi="Verdana"/>
      <w:b/>
      <w:bCs/>
      <w:color w:val="AE8C63"/>
      <w:sz w:val="32"/>
      <w:szCs w:val="32"/>
    </w:rPr>
  </w:style>
  <w:style w:type="paragraph" w:customStyle="1" w:styleId="SI-ScheduleAllegato">
    <w:name w:val="SI - Schedule (Allegato )"/>
    <w:basedOn w:val="SI-Titolo-1Level1"/>
    <w:next w:val="Normale"/>
    <w:qFormat/>
    <w:rsid w:val="00B657D6"/>
    <w:pPr>
      <w:pageBreakBefore/>
      <w:numPr>
        <w:numId w:val="10"/>
      </w:numPr>
      <w:ind w:left="0" w:firstLine="0"/>
      <w:jc w:val="center"/>
    </w:pPr>
  </w:style>
  <w:style w:type="paragraph" w:customStyle="1" w:styleId="SI-Titolo-11Level2">
    <w:name w:val="SI - Titolo - 1.1.   Level 2"/>
    <w:basedOn w:val="Normale"/>
    <w:next w:val="Normale"/>
    <w:link w:val="SI-Titolo-11Level2Carattere"/>
    <w:rsid w:val="005C4FB8"/>
    <w:pPr>
      <w:keepNext/>
      <w:pBdr>
        <w:top w:val="single" w:sz="12" w:space="12" w:color="AE8C63"/>
      </w:pBdr>
      <w:spacing w:before="360"/>
    </w:pPr>
    <w:rPr>
      <w:b/>
      <w:bCs/>
      <w:sz w:val="24"/>
      <w:szCs w:val="24"/>
    </w:rPr>
  </w:style>
  <w:style w:type="character" w:customStyle="1" w:styleId="SI-Titolo-11Level2Carattere">
    <w:name w:val="SI - Titolo - 1.1.   Level 2 Carattere"/>
    <w:basedOn w:val="SI-Titolo-1Level1Carattere"/>
    <w:link w:val="SI-Titolo-11Level2"/>
    <w:rsid w:val="005C4FB8"/>
    <w:rPr>
      <w:rFonts w:ascii="Verdana" w:hAnsi="Verdana"/>
      <w:b/>
      <w:bCs/>
      <w:color w:val="AE8C63"/>
      <w:sz w:val="24"/>
      <w:szCs w:val="24"/>
    </w:rPr>
  </w:style>
  <w:style w:type="paragraph" w:customStyle="1" w:styleId="SI-Titolo-111Level3">
    <w:name w:val="SI - Titolo - 1.1.1.     Level 3"/>
    <w:basedOn w:val="Normale"/>
    <w:next w:val="Normale"/>
    <w:link w:val="SI-Titolo-111Level3Carattere"/>
    <w:rsid w:val="005C4FB8"/>
    <w:pPr>
      <w:keepNext/>
      <w:numPr>
        <w:ilvl w:val="2"/>
        <w:numId w:val="11"/>
      </w:numPr>
      <w:outlineLvl w:val="2"/>
    </w:pPr>
    <w:rPr>
      <w:rFonts w:eastAsia="Times New Roman" w:cs="Open Sans"/>
      <w:bCs/>
      <w:color w:val="000000"/>
      <w:kern w:val="0"/>
      <w14:ligatures w14:val="none"/>
    </w:rPr>
  </w:style>
  <w:style w:type="character" w:customStyle="1" w:styleId="SI-Titolo-111Level3Carattere">
    <w:name w:val="SI - Titolo - 1.1.1.     Level 3 Carattere"/>
    <w:basedOn w:val="Carpredefinitoparagrafo"/>
    <w:link w:val="SI-Titolo-111Level3"/>
    <w:rsid w:val="005C4FB8"/>
    <w:rPr>
      <w:rFonts w:ascii="Verdana" w:eastAsia="Times New Roman" w:hAnsi="Verdana" w:cs="Open Sans"/>
      <w:bCs/>
      <w:color w:val="000000"/>
      <w:kern w:val="0"/>
      <w14:ligatures w14:val="none"/>
    </w:rPr>
  </w:style>
  <w:style w:type="paragraph" w:customStyle="1" w:styleId="SI-Titolonoindice">
    <w:name w:val="SI - Titolo (no indice)"/>
    <w:basedOn w:val="Normale"/>
    <w:next w:val="Normale"/>
    <w:rsid w:val="00400251"/>
    <w:pPr>
      <w:pBdr>
        <w:top w:val="single" w:sz="12" w:space="12" w:color="AE8C63"/>
        <w:bottom w:val="single" w:sz="12" w:space="12" w:color="AE8C63"/>
      </w:pBdr>
    </w:pPr>
    <w:rPr>
      <w:rFonts w:eastAsia="Times New Roman" w:cs="Times New Roman"/>
      <w:b/>
      <w:color w:val="AE8C63"/>
      <w:sz w:val="32"/>
      <w:szCs w:val="32"/>
    </w:rPr>
  </w:style>
  <w:style w:type="character" w:customStyle="1" w:styleId="IntestazioneCarattere">
    <w:name w:val="Intestazione Carattere"/>
    <w:basedOn w:val="Carpredefinitoparagrafo"/>
    <w:link w:val="Intestazione"/>
    <w:uiPriority w:val="99"/>
    <w:semiHidden/>
    <w:rsid w:val="003B2F7A"/>
    <w:rPr>
      <w:rFonts w:ascii="Verdana" w:hAnsi="Verdana"/>
      <w:sz w:val="21"/>
      <w:lang w:val="en-GB"/>
    </w:rPr>
  </w:style>
  <w:style w:type="paragraph" w:styleId="Pidipagina">
    <w:name w:val="footer"/>
    <w:basedOn w:val="Normale"/>
    <w:link w:val="PidipaginaCarattere"/>
    <w:uiPriority w:val="99"/>
    <w:rsid w:val="007A3623"/>
    <w:pPr>
      <w:tabs>
        <w:tab w:val="center" w:pos="4819"/>
        <w:tab w:val="right" w:pos="9638"/>
      </w:tabs>
      <w:spacing w:before="0" w:after="0"/>
    </w:pPr>
  </w:style>
  <w:style w:type="character" w:customStyle="1" w:styleId="PidipaginaCarattere">
    <w:name w:val="Piè di pagina Carattere"/>
    <w:basedOn w:val="Carpredefinitoparagrafo"/>
    <w:link w:val="Pidipagina"/>
    <w:uiPriority w:val="99"/>
    <w:rsid w:val="007A3623"/>
    <w:rPr>
      <w:rFonts w:ascii="Verdana" w:hAnsi="Verdana"/>
      <w:sz w:val="21"/>
    </w:rPr>
  </w:style>
  <w:style w:type="paragraph" w:styleId="Sommario1">
    <w:name w:val="toc 1"/>
    <w:basedOn w:val="Normale"/>
    <w:next w:val="Normale"/>
    <w:uiPriority w:val="39"/>
    <w:rsid w:val="006262C4"/>
    <w:rPr>
      <w:b/>
      <w:bCs/>
      <w:sz w:val="26"/>
    </w:rPr>
  </w:style>
  <w:style w:type="paragraph" w:styleId="Sommario2">
    <w:name w:val="toc 2"/>
    <w:basedOn w:val="Normale"/>
    <w:next w:val="Normale"/>
    <w:autoRedefine/>
    <w:uiPriority w:val="39"/>
    <w:qFormat/>
    <w:rsid w:val="006262C4"/>
    <w:pPr>
      <w:numPr>
        <w:numId w:val="12"/>
      </w:numPr>
      <w:tabs>
        <w:tab w:val="right" w:leader="dot" w:pos="9628"/>
      </w:tabs>
      <w:ind w:left="425" w:hanging="425"/>
    </w:pPr>
    <w:rPr>
      <w:iCs/>
      <w:noProof/>
    </w:rPr>
  </w:style>
  <w:style w:type="paragraph" w:styleId="Sommario3">
    <w:name w:val="toc 3"/>
    <w:basedOn w:val="Normale"/>
    <w:next w:val="Normale"/>
    <w:autoRedefine/>
    <w:uiPriority w:val="39"/>
    <w:semiHidden/>
    <w:qFormat/>
    <w:rsid w:val="00EF3A51"/>
    <w:pPr>
      <w:spacing w:before="0" w:after="0"/>
      <w:ind w:left="420"/>
      <w:jc w:val="left"/>
    </w:pPr>
    <w:rPr>
      <w:rFonts w:asciiTheme="minorHAnsi" w:hAnsiTheme="minorHAnsi"/>
    </w:rPr>
  </w:style>
  <w:style w:type="paragraph" w:styleId="Sommario4">
    <w:name w:val="toc 4"/>
    <w:basedOn w:val="Normale"/>
    <w:next w:val="Normale"/>
    <w:autoRedefine/>
    <w:uiPriority w:val="39"/>
    <w:semiHidden/>
    <w:qFormat/>
    <w:rsid w:val="00EF3A51"/>
    <w:pPr>
      <w:spacing w:before="0" w:after="0"/>
      <w:ind w:left="630"/>
      <w:jc w:val="left"/>
    </w:pPr>
    <w:rPr>
      <w:rFonts w:asciiTheme="minorHAnsi" w:hAnsiTheme="minorHAnsi"/>
    </w:rPr>
  </w:style>
  <w:style w:type="paragraph" w:styleId="Sommario5">
    <w:name w:val="toc 5"/>
    <w:basedOn w:val="Normale"/>
    <w:next w:val="Normale"/>
    <w:autoRedefine/>
    <w:uiPriority w:val="39"/>
    <w:semiHidden/>
    <w:rsid w:val="00EF3A51"/>
    <w:pPr>
      <w:spacing w:before="0" w:after="0"/>
      <w:ind w:left="840"/>
      <w:jc w:val="left"/>
    </w:pPr>
    <w:rPr>
      <w:rFonts w:asciiTheme="minorHAnsi" w:hAnsiTheme="minorHAnsi"/>
    </w:rPr>
  </w:style>
  <w:style w:type="paragraph" w:styleId="Sommario6">
    <w:name w:val="toc 6"/>
    <w:basedOn w:val="Normale"/>
    <w:next w:val="Normale"/>
    <w:autoRedefine/>
    <w:uiPriority w:val="39"/>
    <w:semiHidden/>
    <w:rsid w:val="00EF3A51"/>
    <w:pPr>
      <w:spacing w:before="0" w:after="0"/>
      <w:ind w:left="1050"/>
      <w:jc w:val="left"/>
    </w:pPr>
    <w:rPr>
      <w:rFonts w:asciiTheme="minorHAnsi" w:hAnsiTheme="minorHAnsi"/>
    </w:rPr>
  </w:style>
  <w:style w:type="paragraph" w:styleId="Sommario7">
    <w:name w:val="toc 7"/>
    <w:basedOn w:val="Normale"/>
    <w:next w:val="Normale"/>
    <w:autoRedefine/>
    <w:uiPriority w:val="39"/>
    <w:semiHidden/>
    <w:rsid w:val="00EF3A51"/>
    <w:pPr>
      <w:spacing w:before="0" w:after="0"/>
      <w:ind w:left="1260"/>
      <w:jc w:val="left"/>
    </w:pPr>
    <w:rPr>
      <w:rFonts w:asciiTheme="minorHAnsi" w:hAnsiTheme="minorHAnsi"/>
    </w:rPr>
  </w:style>
  <w:style w:type="paragraph" w:styleId="Sommario8">
    <w:name w:val="toc 8"/>
    <w:basedOn w:val="Normale"/>
    <w:next w:val="Normale"/>
    <w:autoRedefine/>
    <w:uiPriority w:val="39"/>
    <w:semiHidden/>
    <w:rsid w:val="00EF3A51"/>
    <w:pPr>
      <w:spacing w:before="0" w:after="0"/>
      <w:ind w:left="1470"/>
      <w:jc w:val="left"/>
    </w:pPr>
    <w:rPr>
      <w:rFonts w:asciiTheme="minorHAnsi" w:hAnsiTheme="minorHAnsi"/>
    </w:rPr>
  </w:style>
  <w:style w:type="paragraph" w:styleId="Sommario9">
    <w:name w:val="toc 9"/>
    <w:basedOn w:val="Normale"/>
    <w:next w:val="Normale"/>
    <w:autoRedefine/>
    <w:uiPriority w:val="39"/>
    <w:semiHidden/>
    <w:rsid w:val="00EF3A51"/>
    <w:pPr>
      <w:spacing w:before="0" w:after="0"/>
      <w:ind w:left="1680"/>
      <w:jc w:val="left"/>
    </w:pPr>
    <w:rPr>
      <w:rFonts w:asciiTheme="minorHAnsi" w:hAnsiTheme="minorHAnsi"/>
    </w:rPr>
  </w:style>
  <w:style w:type="paragraph" w:styleId="Paragrafoelenco">
    <w:name w:val="List Paragraph"/>
    <w:basedOn w:val="Normale"/>
    <w:uiPriority w:val="34"/>
    <w:rsid w:val="00417492"/>
    <w:pPr>
      <w:numPr>
        <w:numId w:val="13"/>
      </w:numPr>
      <w:spacing w:line="360" w:lineRule="auto"/>
      <w:contextualSpacing/>
    </w:pPr>
  </w:style>
  <w:style w:type="character" w:styleId="Collegamentoipertestuale">
    <w:name w:val="Hyperlink"/>
    <w:basedOn w:val="Carpredefinitoparagrafo"/>
    <w:uiPriority w:val="99"/>
    <w:semiHidden/>
    <w:rsid w:val="003A01FB"/>
    <w:rPr>
      <w:color w:val="467886" w:themeColor="hyperlink"/>
      <w:u w:val="single"/>
    </w:rPr>
  </w:style>
  <w:style w:type="character" w:styleId="Collegamentovisitato">
    <w:name w:val="FollowedHyperlink"/>
    <w:basedOn w:val="Carpredefinitoparagrafo"/>
    <w:uiPriority w:val="99"/>
    <w:semiHidden/>
    <w:rsid w:val="003A01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8742">
      <w:bodyDiv w:val="1"/>
      <w:marLeft w:val="0"/>
      <w:marRight w:val="0"/>
      <w:marTop w:val="0"/>
      <w:marBottom w:val="0"/>
      <w:divBdr>
        <w:top w:val="none" w:sz="0" w:space="0" w:color="auto"/>
        <w:left w:val="none" w:sz="0" w:space="0" w:color="auto"/>
        <w:bottom w:val="none" w:sz="0" w:space="0" w:color="auto"/>
        <w:right w:val="none" w:sz="0" w:space="0" w:color="auto"/>
      </w:divBdr>
    </w:div>
    <w:div w:id="392241081">
      <w:bodyDiv w:val="1"/>
      <w:marLeft w:val="0"/>
      <w:marRight w:val="0"/>
      <w:marTop w:val="0"/>
      <w:marBottom w:val="0"/>
      <w:divBdr>
        <w:top w:val="none" w:sz="0" w:space="0" w:color="auto"/>
        <w:left w:val="none" w:sz="0" w:space="0" w:color="auto"/>
        <w:bottom w:val="none" w:sz="0" w:space="0" w:color="auto"/>
        <w:right w:val="none" w:sz="0" w:space="0" w:color="auto"/>
      </w:divBdr>
    </w:div>
    <w:div w:id="501316127">
      <w:bodyDiv w:val="1"/>
      <w:marLeft w:val="0"/>
      <w:marRight w:val="0"/>
      <w:marTop w:val="0"/>
      <w:marBottom w:val="0"/>
      <w:divBdr>
        <w:top w:val="none" w:sz="0" w:space="0" w:color="auto"/>
        <w:left w:val="none" w:sz="0" w:space="0" w:color="auto"/>
        <w:bottom w:val="none" w:sz="0" w:space="0" w:color="auto"/>
        <w:right w:val="none" w:sz="0" w:space="0" w:color="auto"/>
      </w:divBdr>
    </w:div>
    <w:div w:id="1422679037">
      <w:bodyDiv w:val="1"/>
      <w:marLeft w:val="0"/>
      <w:marRight w:val="0"/>
      <w:marTop w:val="0"/>
      <w:marBottom w:val="0"/>
      <w:divBdr>
        <w:top w:val="none" w:sz="0" w:space="0" w:color="auto"/>
        <w:left w:val="none" w:sz="0" w:space="0" w:color="auto"/>
        <w:bottom w:val="none" w:sz="0" w:space="0" w:color="auto"/>
        <w:right w:val="none" w:sz="0" w:space="0" w:color="auto"/>
      </w:divBdr>
    </w:div>
    <w:div w:id="155669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ropbox.com/scl/fi/2hh9h6syzts8hqwpf1f4d/Self-Storage.pdf?rlkey=x2d87vmo4g9zps7hy32wrc81p&amp;st=9k5e4v21&amp;dl=0" TargetMode="External"/><Relationship Id="rId18" Type="http://schemas.openxmlformats.org/officeDocument/2006/relationships/hyperlink" Target="https://www.comune.milano.it/w/procedimento-di-verifica-di-assoggettabilit%C3%A0-a-vas-per-la-proposta-di-parziale-variante-normativa-delle-norme-di-attuazione-del-piano-delle-regole-e-del-piano-dei-servizi-del-vigente-pgt.-comunicazione-di-messa-a-disposizione-del-rapporto-preliminare" TargetMode="External"/><Relationship Id="rId3" Type="http://schemas.openxmlformats.org/officeDocument/2006/relationships/styles" Target="styles.xml"/><Relationship Id="rId21" Type="http://schemas.openxmlformats.org/officeDocument/2006/relationships/hyperlink" Target="https://mdp.giustizia-amministrativa.it/visualizza/?nodeRef=&amp;schema=tar_mi&amp;nrg=202504389&amp;nomeFile=202603495_01.html&amp;subDir=Provvedimenti"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studioinzaghi.com/nuovo-pgt-di-milano-approvati-gli-indirizzi-per-lavvio-della-variante-parzial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tudioinzaghi.com/wp-content/uploads/2026/08/allegato-3-nta-articoli-modificati-2.pdf" TargetMode="External"/><Relationship Id="rId20" Type="http://schemas.openxmlformats.org/officeDocument/2006/relationships/hyperlink" Target="https://www.studioinzaghi.com/wp-content/uploads/2026/07/nota-a-roma-capitale-su-variante-prg.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tudioinzaghi.com/wp-content/uploads/2026/09/delg_1071_2026_linee-guida-opere-pubbliche.pdf"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www.comune.milano.it/documents/20118/1524875/Deliberazione+della+Giunta+Comunale+n.+932+del+9+luglio+2026.pdf/39977923-0182-afea-705e-4481de1326c5?version=1.1&amp;t=1787820082698&amp;download=tru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tudioinzaghi.com/wp-content/uploads/2026/09/dl_piano_casa_def.pdf" TargetMode="External"/><Relationship Id="rId22"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araMotti\AppData\Roaming\Microsoft\Templates\SI.%20Real%20Estate%20-%20News%20(ita)%20v1.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69743-81EF-7B4F-B4EE-80BC02B80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 Real Estate - News (ita) v1.0</Template>
  <TotalTime>0</TotalTime>
  <Pages>20</Pages>
  <Words>7084</Words>
  <Characters>40382</Characters>
  <Application>Microsoft Office Word</Application>
  <DocSecurity>0</DocSecurity>
  <Lines>336</Lines>
  <Paragraphs>94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Gattulli</dc:creator>
  <cp:keywords/>
  <dc:description/>
  <cp:lastModifiedBy>Chiara Motti</cp:lastModifiedBy>
  <cp:revision>21</cp:revision>
  <cp:lastPrinted>2025-05-15T14:13:00Z</cp:lastPrinted>
  <dcterms:created xsi:type="dcterms:W3CDTF">2026-10-30T08:18:00Z</dcterms:created>
  <dcterms:modified xsi:type="dcterms:W3CDTF">2026-11-02T09:23:00Z</dcterms:modified>
</cp:coreProperties>
</file>